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家用除湿机</w:t>
      </w:r>
      <w:r>
        <w:rPr>
          <w:rFonts w:hint="eastAsia" w:ascii="黑体" w:hAnsi="宋体" w:eastAsia="黑体" w:cs="黑体"/>
          <w:sz w:val="36"/>
          <w:szCs w:val="36"/>
          <w:lang w:eastAsia="zh-CN"/>
        </w:rPr>
        <w:t>》团体标准编制说明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产业背景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家用除湿器是一种小型、便携式的家用电器，主要用于降低室内湿度，以保持适宜的居住环境。家用除湿器通常采用压缩式或吸收式除湿技术。压缩式除湿器通过制冷剂循环，降低空气温度，使空气中的水分凝结成水珠，然后排出。它通过吸收空气中的水分，降低室内湿度，从而防止霉菌生长、减少细菌滋生，以及保护家具和电器不受潮湿影响。适用于卧室、客厅、书房、浴室等家庭空间。特别适合潮湿季节或潮湿地区的家庭使用。</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中国家用除湿器行业近年来随着人们生活水平的提高和对健康生活环境的追求，人们对生活质量的要求也越来越高，这使得家用除湿机的需求在全球范围内不断增长。特别是在气候变化导致湿度问题加剧以及健康意识提高的背景下，家用除湿机市场的增长前景更是看好。 </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（一）全球产业情况</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据贝哲斯的调研数据，2023年全球家用除湿机市场规模为7.92亿美元，较2022年增长6.71%。预计未来几年内，该市场将继续保持稳定增长，到2028年市场规模将增至10.96亿美元。</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default" w:ascii="仿宋" w:hAnsi="仿宋" w:eastAsia="仿宋" w:cs="仿宋"/>
          <w:sz w:val="28"/>
          <w:szCs w:val="28"/>
          <w:lang w:eastAsia="zh-CN"/>
        </w:rPr>
      </w:pPr>
      <w:r>
        <w:rPr>
          <w:rFonts w:hint="default" w:ascii="仿宋" w:hAnsi="仿宋" w:eastAsia="仿宋" w:cs="仿宋"/>
          <w:sz w:val="28"/>
          <w:szCs w:val="28"/>
          <w:lang w:val="en-US" w:eastAsia="zh-CN"/>
        </w:rPr>
        <w:t>从地区分布来看，全球家用除湿机市场主要集中在北美、欧洲以及亚太地区。其中，欧洲为最大的营收市场。这主要得益于欧洲地区的气候特点以及消费者对生活舒适度的追求。数据显示，2023年欧洲家用除湿机市场规模为2.80亿美元，占据35.33%的市场份额；北美和亚太地区分别以32.10%和24.78%的份额成为第二、第三大营收市场。此外，在亚太地区中，中国市场在过去几年变化较快，显示出巨大的市场潜力。</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产业在线数据显示，2024全年除湿机总生产1252.8万台，同比增长38.6%;总销售1247.9万台，同比增长38.1%，呈现出产销两旺的良好局面。内销方面:南方地区梅雨季的延长，使得刚性除湿需求不断释放，有力推动了除湿机下沉市场的增长，在健康消费与气候变化的共同作用下，全年内销规模152.6万台，同比增长27.7%。但总体而言，国内除湿机市场渗透率尚处低位，未来有较大增长空间。</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在出口方面，凭借海外市场需求恢复，再加上中国制造的全球竞争优势，家用除湿机出口保持了稳步高增的态势，全年出口规模1095.3万台，同比增长39.7%。</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（二）我国产业情况</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但在我国，我国生产的家用除湿机产品主要销往海外，国内市场受制于居民消费观念偏差、区域、季节特点突出及房地产市场低迷等多种因素，目前除湿机市场仍处于培育期的小体量低速发展阶段，且主要聚焦于线上渠道。据奥维云网（AVC）推总数据，2023年中国家用除湿机市场（含部分家商两用机型）零售量为239.3万台，同比下滑18.3%；零售额为26.6亿元，同比下滑14.2%。其中，线上市场零售量占比超70%。分季节来看，夏季雨季对全年的销量贡献突出，此外冬春交际的2月份“回南天”对市场也有明显的拉动作用。</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在我国，马太效应加剧，品牌竞争分层。2023年的家用除湿机线上市场共有品牌211个，相比于2022年的186个品牌，其中退出品牌43个，新增品牌68个，在除湿机市场相对黯淡的年景下依然实现了品牌新增。不过这些新增品牌更多是将除湿机产品作为原本业务的拓展延伸，或可以称之为试水，并非孤注一掷的押宝创业。从品牌集中度来看，行业龙头已然形成，并在马太效应愈演愈烈下，头部品牌地位进一步巩固，腰部品牌竞争激烈，长尾品牌或将面临洗牌。这从热销机型中也可见端倪，线上TOP20机型中德业、美的、多乐信三家品牌的数量占比高达80%。</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产品日益聚焦化，行业以降价促升级。从产品结构来看，家用除湿机中0-5L、10-15L、20-25L日除湿量段产品最受消费者欢迎，不过5L以下产品由于除湿量过小、除湿效果不明显，需求量正在萎缩。据了解，市场中18L、20L、22L、30L日除湿量的家用除湿机产品日渐成为消费者的主流选择。此外，在消费分级大环境下，除湿机产品价格的普遍下滑，也促使50L以上日除湿量的产品因其性价比的提高而零售量占比有所提升（其中80L以上日除湿量产品多为家商两用机）。进而实现了整个行业以降价为引，行结构升级之实——拉动行业均价的提升。</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2024年，据奥维云网（AVC）线上监测数据，1月国内家用除湿机线上零售量同比增长36.0%，零售额同比增长29.4%。其中固然有受同期春节假期低基数的影响，但也一定程度反映出市场底色不错。1月线上家用除湿机均价同比下滑4.9%，降价趋势或将持续。培育期的除湿机市场，降价成为行之有效的手段。结合近期的“回南天”助力，想必Q1市场会有不错的起色。至于全年情况如何，还需看能够直接刺激消费需求的夏季梅雨天气情况如何，奥维云网（AVC）乐观预计2024年家用除湿机市场同比小幅增长2.1%，在放价刺激及天气助力下销量或将达到244.4万台。</w:t>
      </w:r>
    </w:p>
    <w:p>
      <w:pPr>
        <w:widowControl/>
        <w:numPr>
          <w:ilvl w:val="1"/>
          <w:numId w:val="7"/>
        </w:numPr>
        <w:spacing w:line="720" w:lineRule="auto"/>
        <w:rPr>
          <w:rFonts w:hint="eastAsia" w:ascii="黑体" w:hAnsi="宋体" w:eastAsia="黑体" w:cs="黑体"/>
          <w:sz w:val="28"/>
          <w:szCs w:val="28"/>
          <w:lang w:eastAsia="zh-CN"/>
        </w:rPr>
      </w:pPr>
      <w:bookmarkStart w:id="0" w:name="OLE_LINK2"/>
      <w:r>
        <w:rPr>
          <w:rFonts w:hint="eastAsia" w:ascii="黑体" w:hAnsi="宋体" w:eastAsia="黑体" w:cs="黑体"/>
          <w:sz w:val="28"/>
          <w:szCs w:val="28"/>
          <w:lang w:eastAsia="zh-CN"/>
        </w:rPr>
        <w:t>发展趋势</w:t>
      </w:r>
    </w:p>
    <w:bookmarkEnd w:id="0"/>
    <w:p>
      <w:pPr>
        <w:keepNext w:val="0"/>
        <w:keepLines w:val="0"/>
        <w:pageBreakBefore w:val="0"/>
        <w:widowControl/>
        <w:numPr>
          <w:ilvl w:val="0"/>
          <w:numId w:val="8"/>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市场需求趋势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市场需求增长趋势。随着经济的发展和居民收入的提高，人们对于生活质量的要求越来越高，家用便携除湿器作为改善室内环境的设备，市场需求逐年增长，产品多样化:市场上的除湿器产品种类繁多，从小型便携式到大型家用型，从单一除湿功能到集成除湿、净化、加湿等多种功能的复合型产品，满足了不同消费者的需求。</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（二）技术趋势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在技术创新方面。技术的进步推动了除湿器性能的提升和功能的多样化。例如，智能除湿器可以通过手机 APP 远程控制，自动调节湿度，甚至与智能家居系统整合。产品多样化:市场上的除湿器产品越来越多样化，从小型便携式到大型家用型，满足不同用户的需求。产品的设计也越来越注重美观和实用性。</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节能环保技术方面。随着环保意识的增强，节能环保型除湿器越来越受到消费者的青睐。高效能、低能耗的除湿器将成为市场的主流。</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健康技术提升方面。人们越来越关注健康，除湿器除了除湿功能外，还可能集成空气净化、杀菌消毒等功能，以满足消费者对健康生活环境的需求。</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智能化发展方面。随着物联网和人工智能技术的发展，未来的除湿器可能会更加智能化，能够根据环境变化自动调节工作状态，甚至与其他智能家居设备联动。市场细分:随着市场的成熟，除湿器市场可能会进一步细分，针对不同用户群体(如婴儿、老人、宠物等)推出更加专业化的产品。</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材料方面：材料技术的突破也为除湿机行业带来了新的发展机遇。轻量化材料的应用，不仅减轻了产品重量，提高了运输效率，还有助于降低能耗。此外，环保材料的使用，如可回收塑料、生物降解材料等，有助于减少产品生命周期内的环境影响，推动行业向可持续发展转型。</w:t>
      </w:r>
    </w:p>
    <w:p>
      <w:pPr>
        <w:widowControl/>
        <w:numPr>
          <w:ilvl w:val="1"/>
          <w:numId w:val="7"/>
        </w:numPr>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提升方向</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 xml:space="preserve">通过打造佛山标准，树立优质区域品牌形象，有助于进一步做大做强产业。进一步提高家用除湿机的产品质量，引导行业有序、健康发展，树立和提升区域品牌形象。团体标准的提升方向具体如下：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满足用户需求。随着产品品质的提高，用户不仅看重家用除湿机的基础功能，还更关注家用除湿机的质量稳定性、可靠性和多功能性，本标准编制过程充分考虑了用户的需求及提出的意见和建议。</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符合政策要求。当前政策对于卫生安全、环保节能的要求不断提高，家用除湿机产品应注重卫生安全和环保性，符合政策导向和要求。本标准对家用除湿机的安全要求、抗菌性能、名</w:t>
      </w:r>
      <w:bookmarkStart w:id="32" w:name="_GoBack"/>
      <w:bookmarkEnd w:id="32"/>
      <w:r>
        <w:rPr>
          <w:rFonts w:hint="eastAsia" w:ascii="仿宋" w:hAnsi="仿宋" w:eastAsia="仿宋" w:cs="仿宋"/>
          <w:sz w:val="28"/>
          <w:szCs w:val="28"/>
          <w:lang w:eastAsia="zh-CN"/>
        </w:rPr>
        <w:t>义工况下的单位消耗功率除湿量限值、噪声限值(声压级)、待机功率、除菌性能等指标进行了考核。</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eastAsia="zh-CN"/>
        </w:rPr>
        <w:t>家用除湿机属于较为成熟且又具有高技术含量和技术创新发展的产品，市场竞争激烈。为保证佛山地区家用除湿机产品的竞争优势，更好地扩大影响力，抢占国内外市场份额，需要打造更高水平的标准，比现有国家、行业标准的要求更高，把中高端家用除湿机做好做强。</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项目意义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家用除湿机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ascii="仿宋" w:hAnsi="仿宋" w:eastAsia="仿宋" w:cs="仿宋"/>
          <w:sz w:val="28"/>
          <w:szCs w:val="28"/>
          <w:lang w:eastAsia="zh-CN"/>
        </w:rPr>
      </w:pPr>
      <w:bookmarkStart w:id="1" w:name="_Hlk130890499"/>
      <w:bookmarkStart w:id="2" w:name="_Hlk130890723"/>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根据佛山市市场监督管理局对佛山标准推进工作的计划和时间要求，在佛山市佛山标准与卓越绩效管理促进会的指导和管理下，为更好地开展编制工作，佛山市顺德区质量技术监督标准与编码所、</w:t>
      </w:r>
      <w:r>
        <w:rPr>
          <w:rFonts w:hint="eastAsia" w:ascii="仿宋" w:hAnsi="仿宋" w:eastAsia="仿宋" w:cs="仿宋"/>
          <w:sz w:val="28"/>
          <w:szCs w:val="28"/>
          <w:lang w:val="en-US" w:eastAsia="zh-CN"/>
        </w:rPr>
        <w:t>广东美的家用制冷设备</w:t>
      </w:r>
      <w:r>
        <w:rPr>
          <w:rFonts w:hint="eastAsia" w:ascii="仿宋" w:hAnsi="仿宋" w:eastAsia="仿宋" w:cs="仿宋"/>
          <w:sz w:val="28"/>
          <w:szCs w:val="28"/>
          <w:lang w:eastAsia="zh-CN"/>
        </w:rPr>
        <w:t>有限公司、广东百奥电气有限公司等到访企业召开标准起草讨论会，成立了标准工作组。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佛山市顺德区质量技术监督标准与编码所、</w:t>
      </w:r>
      <w:r>
        <w:rPr>
          <w:rFonts w:hint="eastAsia" w:ascii="仿宋" w:hAnsi="仿宋" w:eastAsia="仿宋" w:cs="仿宋"/>
          <w:sz w:val="28"/>
          <w:szCs w:val="28"/>
          <w:lang w:val="en-US" w:eastAsia="zh-CN"/>
        </w:rPr>
        <w:t>广东美的家用制冷设备</w:t>
      </w:r>
      <w:r>
        <w:rPr>
          <w:rFonts w:hint="eastAsia" w:ascii="仿宋" w:hAnsi="仿宋" w:eastAsia="仿宋" w:cs="仿宋"/>
          <w:sz w:val="28"/>
          <w:szCs w:val="28"/>
          <w:lang w:eastAsia="zh-CN"/>
        </w:rPr>
        <w:t>有限公司、广东百奥电气有限公司主要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月调研与前期准备阶段：完成行业调研和相关标准、用户痛点问题的收集整理，并组织到访</w:t>
      </w:r>
      <w:r>
        <w:rPr>
          <w:rFonts w:hint="eastAsia" w:ascii="仿宋" w:hAnsi="仿宋" w:eastAsia="仿宋" w:cs="仿宋"/>
          <w:sz w:val="28"/>
          <w:szCs w:val="28"/>
          <w:lang w:val="en-US" w:eastAsia="zh-CN"/>
        </w:rPr>
        <w:t>广东美的家用制冷设备</w:t>
      </w:r>
      <w:r>
        <w:rPr>
          <w:rFonts w:hint="eastAsia" w:ascii="仿宋" w:hAnsi="仿宋" w:eastAsia="仿宋" w:cs="仿宋"/>
          <w:sz w:val="28"/>
          <w:szCs w:val="28"/>
          <w:lang w:eastAsia="zh-CN"/>
        </w:rPr>
        <w:t>有限公司等；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1"/>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月启动标准草案研制工作，结合前期准备工作成果，征求起草单位意见，充分考虑佛山标准的编制要求、编制理念和定位要求等，体现了标准的先进性。具体说明如下：</w:t>
      </w:r>
    </w:p>
    <w:p>
      <w:pPr>
        <w:widowControl/>
        <w:numPr>
          <w:ilvl w:val="0"/>
          <w:numId w:val="9"/>
        </w:numPr>
        <w:spacing w:line="360" w:lineRule="auto"/>
        <w:ind w:firstLine="560" w:firstLineChars="200"/>
        <w:jc w:val="both"/>
        <w:rPr>
          <w:rFonts w:ascii="仿宋" w:hAnsi="仿宋" w:eastAsia="仿宋" w:cs="仿宋"/>
          <w:sz w:val="28"/>
          <w:szCs w:val="28"/>
          <w:lang w:eastAsia="zh-CN"/>
        </w:rPr>
      </w:pPr>
      <w:bookmarkStart w:id="3" w:name="_Hlk130891623"/>
      <w:r>
        <w:rPr>
          <w:rFonts w:hint="eastAsia" w:ascii="仿宋" w:hAnsi="仿宋" w:eastAsia="仿宋" w:cs="仿宋"/>
          <w:sz w:val="28"/>
          <w:szCs w:val="28"/>
          <w:lang w:eastAsia="zh-CN"/>
        </w:rPr>
        <w:t>优化基础指标，提升关键指标</w:t>
      </w:r>
      <w:bookmarkEnd w:id="3"/>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结合相关标准及信息收集、分析、比对，主要在国家标准的基础上，对</w:t>
      </w:r>
      <w:bookmarkStart w:id="4" w:name="OLE_LINK5"/>
      <w:r>
        <w:rPr>
          <w:rFonts w:hint="eastAsia" w:ascii="仿宋" w:hAnsi="仿宋" w:eastAsia="仿宋" w:cs="仿宋"/>
          <w:sz w:val="28"/>
          <w:szCs w:val="28"/>
          <w:lang w:eastAsia="zh-CN"/>
        </w:rPr>
        <w:t>名义工况下的单位消耗功率除湿量限值、噪声限值(声压级)、待机功率、除菌性能</w:t>
      </w:r>
      <w:bookmarkEnd w:id="4"/>
      <w:r>
        <w:rPr>
          <w:rFonts w:hint="eastAsia" w:ascii="仿宋" w:hAnsi="仿宋" w:eastAsia="仿宋" w:cs="仿宋"/>
          <w:sz w:val="28"/>
          <w:szCs w:val="28"/>
          <w:lang w:eastAsia="zh-CN"/>
        </w:rPr>
        <w:t>等指标进行提升，主要是为进一步保证产品稳定性、可靠性和节能性环保性和卫生安全性。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结合消费者意见反馈、行业相关数据收集，在国家标准的基础上，新增了其他安全要求、抗菌性能等指标，主要是为进一步体现产品的安全卫生性和绿色环保性。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10"/>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w:t>
      </w:r>
      <w:bookmarkStart w:id="5" w:name="OLE_LINK11"/>
      <w:bookmarkStart w:id="6" w:name="OLE_LINK1"/>
      <w:r>
        <w:rPr>
          <w:rFonts w:hint="eastAsia" w:ascii="仿宋" w:hAnsi="仿宋" w:eastAsia="仿宋" w:cs="仿宋"/>
          <w:sz w:val="28"/>
          <w:szCs w:val="28"/>
          <w:lang w:eastAsia="zh-CN"/>
        </w:rPr>
        <w:t>名义工况下的单位消耗功率除湿量限值</w:t>
      </w:r>
      <w:bookmarkEnd w:id="5"/>
      <w:r>
        <w:rPr>
          <w:rFonts w:hint="eastAsia" w:ascii="仿宋" w:hAnsi="仿宋" w:eastAsia="仿宋" w:cs="仿宋"/>
          <w:sz w:val="28"/>
          <w:szCs w:val="28"/>
          <w:lang w:eastAsia="zh-CN"/>
        </w:rPr>
        <w:t>、噪声限值(声压级)、待机功率、除菌性能</w:t>
      </w:r>
      <w:bookmarkEnd w:id="6"/>
      <w:r>
        <w:rPr>
          <w:rFonts w:hint="eastAsia" w:ascii="仿宋" w:hAnsi="仿宋" w:eastAsia="仿宋" w:cs="仿宋"/>
          <w:sz w:val="28"/>
          <w:szCs w:val="28"/>
          <w:lang w:eastAsia="zh-CN"/>
        </w:rPr>
        <w:t>等指标，企业代表结合最近几年的检测数据和经验积累，给出了专业性的调整建议。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widowControl/>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针对标准草案中增加的</w:t>
      </w:r>
      <w:bookmarkStart w:id="7" w:name="OLE_LINK4"/>
      <w:r>
        <w:rPr>
          <w:rFonts w:hint="eastAsia" w:ascii="仿宋" w:hAnsi="仿宋" w:eastAsia="仿宋" w:cs="仿宋"/>
          <w:sz w:val="28"/>
          <w:szCs w:val="28"/>
          <w:lang w:eastAsia="zh-CN"/>
        </w:rPr>
        <w:t>其他安全要求、抗菌性能</w:t>
      </w:r>
      <w:bookmarkEnd w:id="7"/>
      <w:r>
        <w:rPr>
          <w:rFonts w:hint="eastAsia" w:ascii="仿宋" w:hAnsi="仿宋" w:eastAsia="仿宋" w:cs="仿宋"/>
          <w:sz w:val="28"/>
          <w:szCs w:val="28"/>
          <w:lang w:eastAsia="zh-CN"/>
        </w:rPr>
        <w:t>等相关指标，确认符合产品趋势、国家产业政策要求及市场导向，属合理增加项。</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color w:val="FF0000"/>
          <w:sz w:val="28"/>
          <w:szCs w:val="28"/>
          <w:lang w:eastAsia="zh-CN"/>
        </w:rPr>
      </w:pPr>
      <w:r>
        <w:rPr>
          <w:rFonts w:hint="eastAsia" w:ascii="仿宋" w:hAnsi="仿宋" w:eastAsia="仿宋" w:cs="仿宋"/>
          <w:color w:val="FF0000"/>
          <w:sz w:val="28"/>
          <w:szCs w:val="28"/>
          <w:lang w:eastAsia="zh-CN"/>
        </w:rPr>
        <w:t>标准研讨会议后，对标准进行了修改，并于</w:t>
      </w:r>
      <w:r>
        <w:rPr>
          <w:rFonts w:hint="eastAsia" w:ascii="仿宋" w:hAnsi="仿宋" w:eastAsia="仿宋" w:cs="仿宋"/>
          <w:color w:val="FF0000"/>
          <w:sz w:val="28"/>
          <w:szCs w:val="28"/>
          <w:lang w:val="en-US" w:eastAsia="zh-CN"/>
        </w:rPr>
        <w:t>2025年XX月XX日开始</w:t>
      </w:r>
      <w:r>
        <w:rPr>
          <w:rFonts w:hint="eastAsia" w:ascii="仿宋" w:hAnsi="仿宋" w:eastAsia="仿宋" w:cs="仿宋"/>
          <w:color w:val="FF0000"/>
          <w:sz w:val="28"/>
          <w:szCs w:val="28"/>
          <w:lang w:eastAsia="zh-CN"/>
        </w:rPr>
        <w:t>在佛山标准公共平台及团体标准公共服务平台进行公开征求意见。征求意见过程中收到意见</w:t>
      </w:r>
      <w:r>
        <w:rPr>
          <w:rFonts w:hint="eastAsia" w:ascii="仿宋" w:hAnsi="仿宋" w:eastAsia="仿宋" w:cs="仿宋"/>
          <w:color w:val="FF0000"/>
          <w:sz w:val="28"/>
          <w:szCs w:val="28"/>
          <w:lang w:val="en-US" w:eastAsia="zh-CN"/>
        </w:rPr>
        <w:t xml:space="preserve">  条</w:t>
      </w:r>
      <w:r>
        <w:rPr>
          <w:rFonts w:hint="eastAsia" w:ascii="仿宋" w:hAnsi="仿宋" w:eastAsia="仿宋" w:cs="仿宋"/>
          <w:color w:val="FF0000"/>
          <w:sz w:val="28"/>
          <w:szCs w:val="28"/>
          <w:lang w:eastAsia="zh-CN"/>
        </w:rPr>
        <w:t>。</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于2</w:t>
      </w:r>
      <w:r>
        <w:rPr>
          <w:rFonts w:ascii="仿宋" w:hAnsi="仿宋" w:eastAsia="仿宋" w:cs="仿宋"/>
          <w:sz w:val="28"/>
          <w:szCs w:val="28"/>
          <w:lang w:eastAsia="zh-CN"/>
        </w:rPr>
        <w:t>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日，佛山市佛山标准与卓越绩效管理促进会组织专家召开了标准定会，专家组听取了编制组的汇报，审阅了相关资料，对标准文本进行了认真、细致和充分的讨论。最后，专家组认为该标准达到国内领先水平，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2"/>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4343.1</w:t>
      </w:r>
      <w:r>
        <w:rPr>
          <w:rFonts w:hint="eastAsia" w:ascii="仿宋" w:hAnsi="仿宋" w:eastAsia="仿宋" w:cs="仿宋"/>
          <w:sz w:val="24"/>
          <w:szCs w:val="24"/>
          <w:lang w:eastAsia="zh-CN"/>
        </w:rPr>
        <w:t>—</w:t>
      </w:r>
      <w:r>
        <w:rPr>
          <w:rFonts w:ascii="仿宋" w:hAnsi="仿宋" w:eastAsia="仿宋" w:cs="仿宋"/>
          <w:sz w:val="24"/>
          <w:szCs w:val="24"/>
          <w:lang w:eastAsia="zh-CN"/>
        </w:rPr>
        <w:t>2018 家用电器、电动工具和类似器具的电磁兼容要求</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第1部分</w:t>
      </w:r>
      <w:r>
        <w:rPr>
          <w:rFonts w:hint="eastAsia" w:ascii="仿宋" w:hAnsi="仿宋" w:eastAsia="仿宋" w:cs="仿宋"/>
          <w:sz w:val="24"/>
          <w:szCs w:val="24"/>
          <w:lang w:eastAsia="zh-CN"/>
        </w:rPr>
        <w:t>：</w:t>
      </w:r>
      <w:r>
        <w:rPr>
          <w:rFonts w:ascii="仿宋" w:hAnsi="仿宋" w:eastAsia="仿宋" w:cs="仿宋"/>
          <w:sz w:val="24"/>
          <w:szCs w:val="24"/>
          <w:lang w:eastAsia="zh-CN"/>
        </w:rPr>
        <w:t>发射</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4343.2</w:t>
      </w:r>
      <w:r>
        <w:rPr>
          <w:rFonts w:hint="eastAsia" w:ascii="仿宋" w:hAnsi="仿宋" w:eastAsia="仿宋" w:cs="仿宋"/>
          <w:sz w:val="24"/>
          <w:szCs w:val="24"/>
          <w:lang w:eastAsia="zh-CN"/>
        </w:rPr>
        <w:t>—2020</w:t>
      </w:r>
      <w:r>
        <w:rPr>
          <w:rFonts w:ascii="仿宋" w:hAnsi="仿宋" w:eastAsia="仿宋" w:cs="仿宋"/>
          <w:sz w:val="24"/>
          <w:szCs w:val="24"/>
          <w:lang w:eastAsia="zh-CN"/>
        </w:rPr>
        <w:t xml:space="preserve"> 家用电器、电动工具和类似器具的电磁兼容要求</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第2部分</w:t>
      </w:r>
      <w:r>
        <w:rPr>
          <w:rFonts w:hint="eastAsia" w:ascii="仿宋" w:hAnsi="仿宋" w:eastAsia="仿宋" w:cs="仿宋"/>
          <w:sz w:val="24"/>
          <w:szCs w:val="24"/>
          <w:lang w:eastAsia="zh-CN"/>
        </w:rPr>
        <w:t>：</w:t>
      </w:r>
      <w:r>
        <w:rPr>
          <w:rFonts w:ascii="仿宋" w:hAnsi="仿宋" w:eastAsia="仿宋" w:cs="仿宋"/>
          <w:sz w:val="24"/>
          <w:szCs w:val="24"/>
          <w:lang w:eastAsia="zh-CN"/>
        </w:rPr>
        <w:t>抗扰度</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w:t>
      </w:r>
      <w:r>
        <w:rPr>
          <w:rFonts w:hint="eastAsia" w:ascii="仿宋" w:hAnsi="仿宋" w:eastAsia="仿宋" w:cs="仿宋"/>
          <w:sz w:val="24"/>
          <w:szCs w:val="24"/>
          <w:lang w:eastAsia="zh-CN"/>
        </w:rPr>
        <w:t xml:space="preserve">/T </w:t>
      </w:r>
      <w:r>
        <w:rPr>
          <w:rFonts w:ascii="仿宋" w:hAnsi="仿宋" w:eastAsia="仿宋" w:cs="仿宋"/>
          <w:sz w:val="24"/>
          <w:szCs w:val="24"/>
          <w:lang w:eastAsia="zh-CN"/>
        </w:rPr>
        <w:t>4706.1</w:t>
      </w:r>
      <w:r>
        <w:rPr>
          <w:rFonts w:hint="eastAsia" w:ascii="仿宋" w:hAnsi="仿宋" w:eastAsia="仿宋" w:cs="仿宋"/>
          <w:sz w:val="24"/>
          <w:szCs w:val="24"/>
          <w:lang w:eastAsia="zh-CN"/>
        </w:rPr>
        <w:t>—2024</w:t>
      </w:r>
      <w:r>
        <w:rPr>
          <w:rFonts w:ascii="仿宋" w:hAnsi="仿宋" w:eastAsia="仿宋" w:cs="仿宋"/>
          <w:sz w:val="24"/>
          <w:szCs w:val="24"/>
          <w:lang w:eastAsia="zh-CN"/>
        </w:rPr>
        <w:t xml:space="preserve"> 家用和类似用途电器的安全</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第1部分</w:t>
      </w:r>
      <w:r>
        <w:rPr>
          <w:rFonts w:hint="eastAsia" w:ascii="仿宋" w:hAnsi="仿宋" w:eastAsia="仿宋" w:cs="仿宋"/>
          <w:sz w:val="24"/>
          <w:szCs w:val="24"/>
          <w:lang w:eastAsia="zh-CN"/>
        </w:rPr>
        <w:t>：</w:t>
      </w:r>
      <w:r>
        <w:rPr>
          <w:rFonts w:ascii="仿宋" w:hAnsi="仿宋" w:eastAsia="仿宋" w:cs="仿宋"/>
          <w:sz w:val="24"/>
          <w:szCs w:val="24"/>
          <w:lang w:eastAsia="zh-CN"/>
        </w:rPr>
        <w:t>通用要求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bookmarkStart w:id="8" w:name="OLE_LINK13"/>
      <w:r>
        <w:rPr>
          <w:rFonts w:ascii="仿宋" w:hAnsi="仿宋" w:eastAsia="仿宋" w:cs="仿宋"/>
          <w:sz w:val="24"/>
          <w:szCs w:val="24"/>
          <w:lang w:eastAsia="zh-CN"/>
        </w:rPr>
        <w:t>GB</w:t>
      </w:r>
      <w:r>
        <w:rPr>
          <w:rFonts w:hint="eastAsia" w:ascii="仿宋" w:hAnsi="仿宋" w:eastAsia="仿宋" w:cs="仿宋"/>
          <w:sz w:val="24"/>
          <w:szCs w:val="24"/>
          <w:lang w:eastAsia="zh-CN"/>
        </w:rPr>
        <w:t xml:space="preserve">/T </w:t>
      </w:r>
      <w:r>
        <w:rPr>
          <w:rFonts w:ascii="仿宋" w:hAnsi="仿宋" w:eastAsia="仿宋" w:cs="仿宋"/>
          <w:sz w:val="24"/>
          <w:szCs w:val="24"/>
          <w:lang w:eastAsia="zh-CN"/>
        </w:rPr>
        <w:t>4706.32</w:t>
      </w:r>
      <w:bookmarkEnd w:id="8"/>
      <w:r>
        <w:rPr>
          <w:rFonts w:ascii="仿宋" w:hAnsi="仿宋" w:eastAsia="仿宋" w:cs="仿宋"/>
          <w:sz w:val="24"/>
          <w:szCs w:val="24"/>
          <w:lang w:eastAsia="zh-CN"/>
        </w:rPr>
        <w:t xml:space="preserve"> 家用和类似用途电器的安全</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热泵、空调器和除湿机的特殊要求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5226.1</w:t>
      </w:r>
      <w:r>
        <w:rPr>
          <w:rFonts w:hint="eastAsia" w:ascii="仿宋" w:hAnsi="仿宋" w:eastAsia="仿宋" w:cs="仿宋"/>
          <w:sz w:val="24"/>
          <w:szCs w:val="24"/>
          <w:lang w:eastAsia="zh-CN"/>
        </w:rPr>
        <w:t>—</w:t>
      </w:r>
      <w:r>
        <w:rPr>
          <w:rFonts w:ascii="仿宋" w:hAnsi="仿宋" w:eastAsia="仿宋" w:cs="仿宋"/>
          <w:sz w:val="24"/>
          <w:szCs w:val="24"/>
          <w:lang w:eastAsia="zh-CN"/>
        </w:rPr>
        <w:t>2019 机械电气安全</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机械电气设备</w:t>
      </w:r>
      <w:r>
        <w:rPr>
          <w:rFonts w:ascii="仿宋" w:hAnsi="仿宋" w:eastAsia="仿宋" w:cs="仿宋"/>
          <w:sz w:val="24"/>
          <w:szCs w:val="24"/>
          <w:lang w:eastAsia="zh-CN"/>
        </w:rPr>
        <w:tab/>
      </w:r>
      <w:r>
        <w:rPr>
          <w:rFonts w:ascii="仿宋" w:hAnsi="仿宋" w:eastAsia="仿宋" w:cs="仿宋"/>
          <w:sz w:val="24"/>
          <w:szCs w:val="24"/>
          <w:lang w:eastAsia="zh-CN"/>
        </w:rPr>
        <w:t>第1部分</w:t>
      </w:r>
      <w:r>
        <w:rPr>
          <w:rFonts w:hint="eastAsia" w:ascii="仿宋" w:hAnsi="仿宋" w:eastAsia="仿宋" w:cs="仿宋"/>
          <w:sz w:val="24"/>
          <w:szCs w:val="24"/>
          <w:lang w:eastAsia="zh-CN"/>
        </w:rPr>
        <w:t>：</w:t>
      </w:r>
      <w:r>
        <w:rPr>
          <w:rFonts w:ascii="仿宋" w:hAnsi="仿宋" w:eastAsia="仿宋" w:cs="仿宋"/>
          <w:sz w:val="24"/>
          <w:szCs w:val="24"/>
          <w:lang w:eastAsia="zh-CN"/>
        </w:rPr>
        <w:t>通用技术条件</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9237 制冷系统及热泵</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安全与环境要求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9286—2021 色漆和清漆</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划格试验</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16842</w:t>
      </w:r>
      <w:r>
        <w:rPr>
          <w:rFonts w:hint="eastAsia" w:ascii="仿宋" w:hAnsi="仿宋" w:eastAsia="仿宋" w:cs="仿宋"/>
          <w:sz w:val="24"/>
          <w:szCs w:val="24"/>
          <w:lang w:eastAsia="zh-CN"/>
        </w:rPr>
        <w:t>—</w:t>
      </w:r>
      <w:r>
        <w:rPr>
          <w:rFonts w:ascii="仿宋" w:hAnsi="仿宋" w:eastAsia="仿宋" w:cs="仿宋"/>
          <w:sz w:val="24"/>
          <w:szCs w:val="24"/>
          <w:lang w:eastAsia="zh-CN"/>
        </w:rPr>
        <w:t>2016 外壳对人和设备的防护</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检验用试具</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17625.1</w:t>
      </w:r>
      <w:r>
        <w:rPr>
          <w:rFonts w:hint="eastAsia" w:ascii="仿宋" w:hAnsi="仿宋" w:eastAsia="仿宋" w:cs="仿宋"/>
          <w:sz w:val="24"/>
          <w:szCs w:val="24"/>
          <w:lang w:eastAsia="zh-CN"/>
        </w:rPr>
        <w:t>—</w:t>
      </w:r>
      <w:r>
        <w:rPr>
          <w:rFonts w:ascii="仿宋" w:hAnsi="仿宋" w:eastAsia="仿宋" w:cs="仿宋"/>
          <w:sz w:val="24"/>
          <w:szCs w:val="24"/>
          <w:lang w:eastAsia="zh-CN"/>
        </w:rPr>
        <w:t>2022 电磁兼容</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限值</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第1部分</w:t>
      </w:r>
      <w:r>
        <w:rPr>
          <w:rFonts w:hint="eastAsia" w:ascii="仿宋" w:hAnsi="仿宋" w:eastAsia="仿宋" w:cs="仿宋"/>
          <w:sz w:val="24"/>
          <w:szCs w:val="24"/>
          <w:lang w:eastAsia="zh-CN"/>
        </w:rPr>
        <w:t>：</w:t>
      </w:r>
      <w:r>
        <w:rPr>
          <w:rFonts w:ascii="仿宋" w:hAnsi="仿宋" w:eastAsia="仿宋" w:cs="仿宋"/>
          <w:sz w:val="24"/>
          <w:szCs w:val="24"/>
          <w:lang w:eastAsia="zh-CN"/>
        </w:rPr>
        <w:t>谐波电流发射限值(设备每相输入电流</w:t>
      </w:r>
      <w:r>
        <w:rPr>
          <w:rFonts w:hint="eastAsia" w:ascii="仿宋" w:hAnsi="仿宋" w:eastAsia="仿宋" w:cs="仿宋"/>
          <w:sz w:val="24"/>
          <w:szCs w:val="24"/>
          <w:lang w:eastAsia="zh-CN"/>
        </w:rPr>
        <w:t>≤</w:t>
      </w:r>
      <w:r>
        <w:rPr>
          <w:rFonts w:ascii="仿宋" w:hAnsi="仿宋" w:eastAsia="仿宋" w:cs="仿宋"/>
          <w:sz w:val="24"/>
          <w:szCs w:val="24"/>
          <w:lang w:eastAsia="zh-CN"/>
        </w:rPr>
        <w:t>16A)</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17625.8 电磁兼容</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限值</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每相输入电流大于16 A小于等于75 A连接到公用低压系统的设备产生的谐波电流限值</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bookmarkStart w:id="9" w:name="OLE_LINK6"/>
      <w:r>
        <w:rPr>
          <w:rFonts w:ascii="仿宋" w:hAnsi="仿宋" w:eastAsia="仿宋" w:cs="仿宋"/>
          <w:sz w:val="24"/>
          <w:szCs w:val="24"/>
          <w:lang w:eastAsia="zh-CN"/>
        </w:rPr>
        <w:t xml:space="preserve">GB/T </w:t>
      </w:r>
      <w:r>
        <w:rPr>
          <w:rFonts w:hint="eastAsia" w:ascii="仿宋" w:hAnsi="仿宋" w:eastAsia="仿宋" w:cs="仿宋"/>
          <w:sz w:val="24"/>
          <w:szCs w:val="24"/>
          <w:lang w:eastAsia="zh-CN"/>
        </w:rPr>
        <w:t>19411—2024</w:t>
      </w:r>
      <w:bookmarkEnd w:id="9"/>
      <w:r>
        <w:rPr>
          <w:rFonts w:hint="eastAsia" w:ascii="仿宋" w:hAnsi="仿宋" w:eastAsia="仿宋" w:cs="仿宋"/>
          <w:sz w:val="24"/>
          <w:szCs w:val="24"/>
          <w:lang w:eastAsia="zh-CN"/>
        </w:rPr>
        <w:t xml:space="preserve"> 除湿机</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GB/T 21551.2  家用和类似用途电器的抗菌、除菌、净化功能 第2部分：抗菌材料的特殊要求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21551.3</w:t>
      </w:r>
      <w:r>
        <w:rPr>
          <w:rFonts w:hint="eastAsia" w:ascii="仿宋" w:hAnsi="仿宋" w:eastAsia="仿宋" w:cs="仿宋"/>
          <w:sz w:val="24"/>
          <w:szCs w:val="24"/>
          <w:lang w:eastAsia="zh-CN"/>
        </w:rPr>
        <w:t>—</w:t>
      </w:r>
      <w:r>
        <w:rPr>
          <w:rFonts w:ascii="仿宋" w:hAnsi="仿宋" w:eastAsia="仿宋" w:cs="仿宋"/>
          <w:sz w:val="24"/>
          <w:szCs w:val="24"/>
          <w:lang w:eastAsia="zh-CN"/>
        </w:rPr>
        <w:t>2010 家用和类似用途电器的抗菌、除菌、净化功能</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空气净化器的特殊要求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26125</w:t>
      </w:r>
      <w:r>
        <w:rPr>
          <w:rFonts w:hint="eastAsia" w:ascii="仿宋" w:hAnsi="仿宋" w:eastAsia="仿宋" w:cs="仿宋"/>
          <w:sz w:val="24"/>
          <w:szCs w:val="24"/>
          <w:lang w:eastAsia="zh-CN"/>
        </w:rPr>
        <w:t xml:space="preserve"> 电子电气产品</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六种限用物质（铅、汞、镉、六价铬、多溴联苯和多溴二苯醚）的测定</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GB/T 26572 </w:t>
      </w:r>
      <w:r>
        <w:rPr>
          <w:rFonts w:hint="eastAsia" w:ascii="仿宋" w:hAnsi="仿宋" w:eastAsia="仿宋" w:cs="仿宋"/>
          <w:sz w:val="24"/>
          <w:szCs w:val="24"/>
          <w:lang w:eastAsia="zh-CN"/>
        </w:rPr>
        <w:t>电子电气产品中限用物质的限量要求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JB/T</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10359</w:t>
      </w:r>
      <w:r>
        <w:rPr>
          <w:rFonts w:hint="eastAsia" w:ascii="仿宋" w:hAnsi="仿宋" w:eastAsia="仿宋" w:cs="仿宋"/>
          <w:sz w:val="24"/>
          <w:szCs w:val="24"/>
          <w:lang w:eastAsia="zh-CN"/>
        </w:rPr>
        <w:t>—</w:t>
      </w:r>
      <w:r>
        <w:rPr>
          <w:rFonts w:ascii="仿宋" w:hAnsi="仿宋" w:eastAsia="仿宋" w:cs="仿宋"/>
          <w:sz w:val="24"/>
          <w:szCs w:val="24"/>
          <w:lang w:eastAsia="zh-CN"/>
        </w:rPr>
        <w:t>2013 空调器室外机用塑料</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环境技术要求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QB</w:t>
      </w:r>
      <w:r>
        <w:rPr>
          <w:rFonts w:ascii="仿宋" w:hAnsi="仿宋" w:eastAsia="仿宋" w:cs="仿宋"/>
          <w:sz w:val="24"/>
          <w:szCs w:val="24"/>
          <w:lang w:eastAsia="zh-CN"/>
        </w:rPr>
        <w:t xml:space="preserve">/T </w:t>
      </w:r>
      <w:r>
        <w:rPr>
          <w:rFonts w:hint="eastAsia" w:ascii="仿宋" w:hAnsi="仿宋" w:eastAsia="仿宋" w:cs="仿宋"/>
          <w:sz w:val="24"/>
          <w:szCs w:val="24"/>
          <w:lang w:eastAsia="zh-CN"/>
        </w:rPr>
        <w:t>5688—2022 家用除湿机</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pStyle w:val="38"/>
        <w:ind w:firstLine="420"/>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本文件规定了除湿机的型式与基本参数、要求、试验方法、检验规则、标志、包装、运输、贮存和质量承诺。</w:t>
      </w:r>
    </w:p>
    <w:p>
      <w:pPr>
        <w:pStyle w:val="38"/>
        <w:ind w:firstLine="420"/>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本文件适用于以机械制冷方式除湿、以冷凝热为空气再热方式的额定除湿量在0.16 kg/h</w:t>
      </w:r>
      <w:bookmarkStart w:id="10" w:name="OLE_LINK17"/>
      <w:r>
        <w:rPr>
          <w:rFonts w:hint="eastAsia" w:ascii="仿宋" w:hAnsi="仿宋" w:eastAsia="仿宋" w:cs="仿宋"/>
          <w:sz w:val="28"/>
          <w:szCs w:val="28"/>
          <w:lang w:val="en-US" w:eastAsia="zh-CN" w:bidi="ar-SA"/>
        </w:rPr>
        <w:t>～</w:t>
      </w:r>
      <w:bookmarkEnd w:id="10"/>
      <w:r>
        <w:rPr>
          <w:rFonts w:hint="eastAsia" w:ascii="仿宋" w:hAnsi="仿宋" w:eastAsia="仿宋" w:cs="仿宋"/>
          <w:sz w:val="28"/>
          <w:szCs w:val="28"/>
          <w:lang w:val="en-US" w:eastAsia="zh-CN" w:bidi="ar-SA"/>
        </w:rPr>
        <w:t>2.50 kg/h的家用除湿机。</w:t>
      </w:r>
    </w:p>
    <w:p>
      <w:pPr>
        <w:widowControl/>
        <w:spacing w:line="360" w:lineRule="auto"/>
        <w:ind w:firstLine="560" w:firstLineChars="200"/>
        <w:rPr>
          <w:rFonts w:hint="default"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本文件不适用于全新风除湿机。</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w:t>
      </w:r>
      <w:r>
        <w:rPr>
          <w:rFonts w:hint="eastAsia" w:ascii="仿宋" w:hAnsi="仿宋" w:eastAsia="仿宋" w:cs="仿宋"/>
          <w:sz w:val="28"/>
          <w:szCs w:val="28"/>
          <w:lang w:val="en-US" w:eastAsia="zh-CN"/>
        </w:rPr>
        <w:t>一般要求、</w:t>
      </w:r>
      <w:r>
        <w:rPr>
          <w:rFonts w:hint="eastAsia" w:ascii="仿宋" w:hAnsi="仿宋" w:eastAsia="仿宋" w:cs="仿宋"/>
          <w:sz w:val="28"/>
          <w:szCs w:val="28"/>
          <w:lang w:val="zh-CN" w:eastAsia="zh-CN"/>
        </w:rPr>
        <w:t>外观、</w:t>
      </w:r>
      <w:r>
        <w:rPr>
          <w:rFonts w:hint="eastAsia" w:ascii="仿宋" w:hAnsi="仿宋" w:eastAsia="仿宋" w:cs="仿宋"/>
          <w:sz w:val="28"/>
          <w:szCs w:val="28"/>
          <w:lang w:eastAsia="zh-CN"/>
        </w:rPr>
        <w:t>有害物质含量、脚轮整机力学性能、耐候性能等指标；关键性指标，包括了试运转、制冷系统密封性能、名义工况除湿性能、高温工况除湿性能、最大负荷运行、低温除湿运行、凝露和凝结水排除、溢水绝缘性能、限制热交换、安全要求、电磁兼容、噪声、待机功率、洁净空气量、除菌性能等指标；新增指标</w:t>
      </w:r>
      <w:r>
        <w:rPr>
          <w:rFonts w:hint="eastAsia" w:ascii="仿宋" w:hAnsi="仿宋" w:eastAsia="仿宋" w:cs="仿宋"/>
          <w:sz w:val="28"/>
          <w:szCs w:val="28"/>
          <w:lang w:val="zh-CN" w:eastAsia="zh-CN"/>
        </w:rPr>
        <w:t>为其他安全要求、抗菌性能</w:t>
      </w:r>
      <w:r>
        <w:rPr>
          <w:rFonts w:hint="eastAsia" w:ascii="仿宋" w:hAnsi="仿宋" w:eastAsia="仿宋" w:cs="仿宋"/>
          <w:sz w:val="28"/>
          <w:szCs w:val="28"/>
          <w:lang w:eastAsia="zh-CN"/>
        </w:rPr>
        <w:t>等指标。</w:t>
      </w:r>
    </w:p>
    <w:p>
      <w:pPr>
        <w:autoSpaceDE/>
        <w:autoSpaceDN/>
        <w:spacing w:after="120" w:line="36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标准指标比对表</w:t>
      </w:r>
    </w:p>
    <w:tbl>
      <w:tblPr>
        <w:tblStyle w:val="10"/>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6"/>
        <w:gridCol w:w="1155"/>
        <w:gridCol w:w="1565"/>
        <w:gridCol w:w="288"/>
        <w:gridCol w:w="1533"/>
        <w:gridCol w:w="1717"/>
        <w:gridCol w:w="226"/>
        <w:gridCol w:w="1702"/>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30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指标</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类型</w:t>
            </w: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sz w:val="18"/>
                <w:szCs w:val="18"/>
                <w:shd w:val="clear" w:color="auto" w:fill="auto"/>
                <w:lang w:val="zh-CN"/>
              </w:rPr>
              <w:t>指标项目</w:t>
            </w:r>
          </w:p>
        </w:tc>
        <w:tc>
          <w:tcPr>
            <w:tcW w:w="1766" w:type="pct"/>
            <w:gridSpan w:val="3"/>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eastAsia="zh-CN"/>
              </w:rPr>
              <w:t>佛山</w:t>
            </w:r>
            <w:r>
              <w:rPr>
                <w:rFonts w:hint="eastAsia" w:ascii="宋体" w:hAnsi="宋体" w:eastAsia="宋体" w:cs="宋体"/>
                <w:color w:val="auto"/>
                <w:spacing w:val="0"/>
                <w:sz w:val="18"/>
                <w:szCs w:val="18"/>
                <w:shd w:val="clear" w:color="auto" w:fill="auto"/>
                <w:lang w:val="zh-CN" w:eastAsia="zh-CN"/>
              </w:rPr>
              <w:t>标准</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T/FSS XX-202</w:t>
            </w:r>
            <w:r>
              <w:rPr>
                <w:rFonts w:hint="eastAsia" w:ascii="宋体" w:hAnsi="宋体" w:cs="宋体"/>
                <w:color w:val="auto"/>
                <w:spacing w:val="0"/>
                <w:sz w:val="18"/>
                <w:szCs w:val="18"/>
                <w:shd w:val="clear" w:color="auto" w:fill="auto"/>
                <w:lang w:val="en-US" w:eastAsia="zh-CN"/>
              </w:rPr>
              <w:t>5</w:t>
            </w:r>
          </w:p>
        </w:tc>
        <w:tc>
          <w:tcPr>
            <w:tcW w:w="1901" w:type="pct"/>
            <w:gridSpan w:val="3"/>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国家标准</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GB/T 19411—2024</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kern w:val="2"/>
                <w:sz w:val="18"/>
                <w:szCs w:val="18"/>
                <w:shd w:val="clear" w:color="auto" w:fill="auto"/>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基础性指标</w:t>
            </w: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bidi="ar-SA"/>
              </w:rPr>
              <w:t>一般要求</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bookmarkStart w:id="11" w:name="OLE_LINK7"/>
            <w:r>
              <w:rPr>
                <w:rFonts w:hint="eastAsia" w:ascii="宋体" w:hAnsi="宋体" w:eastAsia="宋体" w:cs="宋体"/>
                <w:color w:val="auto"/>
                <w:sz w:val="18"/>
                <w:szCs w:val="18"/>
                <w:lang w:val="en-US" w:eastAsia="zh-CN"/>
              </w:rPr>
              <w:t>标准中5.1规定的一般要求</w:t>
            </w:r>
            <w:bookmarkEnd w:id="11"/>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国标中5.1规定的一般要求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bidi="ar-SA"/>
              </w:rPr>
            </w:pPr>
            <w:r>
              <w:rPr>
                <w:rFonts w:hint="eastAsia" w:ascii="宋体" w:hAnsi="宋体" w:eastAsia="宋体" w:cs="宋体"/>
                <w:color w:val="auto"/>
                <w:spacing w:val="0"/>
                <w:sz w:val="18"/>
                <w:szCs w:val="18"/>
                <w:shd w:val="clear" w:color="auto" w:fill="auto"/>
                <w:lang w:val="zh-CN"/>
              </w:rPr>
              <w:t>外观</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bookmarkStart w:id="12" w:name="OLE_LINK3"/>
            <w:r>
              <w:rPr>
                <w:rFonts w:hint="eastAsia" w:ascii="宋体" w:hAnsi="宋体" w:eastAsia="宋体" w:cs="宋体"/>
                <w:color w:val="auto"/>
                <w:sz w:val="18"/>
                <w:szCs w:val="18"/>
                <w:lang w:val="en-US" w:eastAsia="zh-CN"/>
              </w:rPr>
              <w:t>标准中5.2规定的外观要求</w:t>
            </w:r>
            <w:bookmarkEnd w:id="12"/>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rPr>
              <w:t>国标中5.2规定的外观要求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602"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z w:val="18"/>
                <w:szCs w:val="18"/>
              </w:rPr>
              <w:t>有害物质含量</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除湿机的有害物质含量应符合GB/T 26572的规定。</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注：</w:t>
            </w:r>
            <w:r>
              <w:rPr>
                <w:rFonts w:hint="eastAsia" w:ascii="宋体" w:hAnsi="宋体" w:eastAsia="宋体" w:cs="宋体"/>
                <w:color w:val="auto"/>
                <w:sz w:val="18"/>
                <w:szCs w:val="18"/>
              </w:rPr>
              <w:t>政府部门予以豁免的项目例外。</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5.1.8</w:t>
            </w:r>
            <w:r>
              <w:rPr>
                <w:rFonts w:hint="eastAsia" w:ascii="宋体" w:hAnsi="宋体" w:eastAsia="宋体" w:cs="宋体"/>
                <w:color w:val="auto"/>
                <w:sz w:val="18"/>
                <w:szCs w:val="18"/>
              </w:rPr>
              <w:t>除湿机的有害物质含量应符合GB/T 26572的规定。</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注：</w:t>
            </w:r>
            <w:r>
              <w:rPr>
                <w:rFonts w:hint="eastAsia" w:ascii="宋体" w:hAnsi="宋体" w:eastAsia="宋体" w:cs="宋体"/>
                <w:color w:val="auto"/>
                <w:sz w:val="18"/>
                <w:szCs w:val="18"/>
              </w:rPr>
              <w:t>政府部门予以豁免的项目例外。</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602" w:type="pct"/>
            <w:shd w:val="clear" w:color="auto" w:fill="auto"/>
            <w:vAlign w:val="center"/>
          </w:tcPr>
          <w:p>
            <w:pPr>
              <w:jc w:val="center"/>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z w:val="18"/>
                <w:szCs w:val="18"/>
              </w:rPr>
              <w:t>脚轮整机力学性能</w:t>
            </w:r>
          </w:p>
        </w:tc>
        <w:tc>
          <w:tcPr>
            <w:tcW w:w="1766" w:type="pct"/>
            <w:gridSpan w:val="3"/>
            <w:shd w:val="clear" w:color="auto" w:fill="auto"/>
            <w:vAlign w:val="center"/>
          </w:tcPr>
          <w:p>
            <w:pP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5.18规定的</w:t>
            </w:r>
            <w:r>
              <w:rPr>
                <w:rFonts w:hint="eastAsia" w:ascii="宋体" w:hAnsi="宋体" w:eastAsia="宋体" w:cs="宋体"/>
                <w:color w:val="auto"/>
                <w:sz w:val="18"/>
                <w:szCs w:val="18"/>
              </w:rPr>
              <w:t>脚轮整机力学性能</w:t>
            </w:r>
          </w:p>
        </w:tc>
        <w:tc>
          <w:tcPr>
            <w:tcW w:w="1901" w:type="pct"/>
            <w:gridSpan w:val="3"/>
            <w:vAlign w:val="center"/>
          </w:tcPr>
          <w:p>
            <w:pP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5.17规定的</w:t>
            </w:r>
            <w:r>
              <w:rPr>
                <w:rFonts w:hint="eastAsia" w:ascii="宋体" w:hAnsi="宋体" w:eastAsia="宋体" w:cs="宋体"/>
                <w:color w:val="auto"/>
                <w:sz w:val="18"/>
                <w:szCs w:val="18"/>
              </w:rPr>
              <w:t>脚轮整机力学性能</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bookmarkStart w:id="13" w:name="OLE_LINK8" w:colFirst="2" w:colLast="3"/>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z w:val="18"/>
                <w:szCs w:val="18"/>
              </w:rPr>
              <w:t>耐候性能</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5.19规定的</w:t>
            </w:r>
            <w:r>
              <w:rPr>
                <w:rFonts w:hint="eastAsia" w:ascii="宋体" w:hAnsi="宋体" w:eastAsia="宋体" w:cs="宋体"/>
                <w:color w:val="auto"/>
                <w:sz w:val="18"/>
                <w:szCs w:val="18"/>
              </w:rPr>
              <w:t>耐候性能</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5.18规定的</w:t>
            </w:r>
            <w:r>
              <w:rPr>
                <w:rFonts w:hint="eastAsia" w:ascii="宋体" w:hAnsi="宋体" w:eastAsia="宋体" w:cs="宋体"/>
                <w:color w:val="auto"/>
                <w:sz w:val="18"/>
                <w:szCs w:val="18"/>
              </w:rPr>
              <w:t>耐候性能</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关键</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指标</w:t>
            </w:r>
          </w:p>
        </w:tc>
        <w:tc>
          <w:tcPr>
            <w:tcW w:w="602" w:type="pct"/>
            <w:shd w:val="clear" w:color="auto" w:fill="auto"/>
            <w:vAlign w:val="center"/>
          </w:tcPr>
          <w:p>
            <w:pPr>
              <w:jc w:val="center"/>
              <w:rPr>
                <w:rFonts w:hint="eastAsia" w:ascii="宋体" w:hAnsi="宋体" w:eastAsia="宋体" w:cs="宋体"/>
                <w:color w:val="auto"/>
                <w:sz w:val="18"/>
                <w:szCs w:val="18"/>
                <w:lang w:val="zh-CN" w:eastAsia="en-US" w:bidi="ar-SA"/>
              </w:rPr>
            </w:pPr>
            <w:r>
              <w:rPr>
                <w:rFonts w:hint="eastAsia" w:ascii="宋体" w:hAnsi="宋体" w:eastAsia="宋体" w:cs="宋体"/>
                <w:color w:val="auto"/>
                <w:sz w:val="18"/>
                <w:szCs w:val="18"/>
              </w:rPr>
              <w:t>试运转</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5.4规定的</w:t>
            </w:r>
            <w:r>
              <w:rPr>
                <w:rFonts w:hint="eastAsia" w:ascii="宋体" w:hAnsi="宋体" w:eastAsia="宋体" w:cs="宋体"/>
                <w:color w:val="auto"/>
                <w:sz w:val="18"/>
                <w:szCs w:val="18"/>
                <w:lang w:eastAsia="zh-CN"/>
              </w:rPr>
              <w:t>试运转</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5.3规定的</w:t>
            </w:r>
            <w:r>
              <w:rPr>
                <w:rFonts w:hint="eastAsia" w:ascii="宋体" w:hAnsi="宋体" w:eastAsia="宋体" w:cs="宋体"/>
                <w:color w:val="auto"/>
                <w:sz w:val="18"/>
                <w:szCs w:val="18"/>
                <w:lang w:eastAsia="zh-CN"/>
              </w:rPr>
              <w:t>试运转</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center"/>
              <w:textAlignment w:val="auto"/>
              <w:rPr>
                <w:rFonts w:hint="eastAsia" w:ascii="宋体" w:hAnsi="宋体" w:eastAsia="宋体" w:cs="宋体"/>
                <w:color w:val="auto"/>
                <w:sz w:val="18"/>
                <w:szCs w:val="18"/>
                <w:lang w:val="zh-CN" w:eastAsia="en-US" w:bidi="ar-SA"/>
              </w:rPr>
            </w:pPr>
            <w:bookmarkStart w:id="14" w:name="OLE_LINK9"/>
            <w:r>
              <w:rPr>
                <w:rFonts w:hint="eastAsia" w:ascii="宋体" w:hAnsi="宋体" w:eastAsia="宋体" w:cs="宋体"/>
                <w:color w:val="auto"/>
                <w:sz w:val="18"/>
                <w:szCs w:val="18"/>
              </w:rPr>
              <w:t>制冷系统密封性能</w:t>
            </w:r>
            <w:bookmarkEnd w:id="14"/>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5.5规定的</w:t>
            </w:r>
            <w:r>
              <w:rPr>
                <w:rFonts w:hint="eastAsia" w:ascii="宋体" w:hAnsi="宋体" w:eastAsia="宋体" w:cs="宋体"/>
                <w:color w:val="auto"/>
                <w:sz w:val="18"/>
                <w:szCs w:val="18"/>
              </w:rPr>
              <w:t>制冷系统密封性能</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5.4规定的</w:t>
            </w:r>
            <w:r>
              <w:rPr>
                <w:rFonts w:hint="eastAsia" w:ascii="宋体" w:hAnsi="宋体" w:eastAsia="宋体" w:cs="宋体"/>
                <w:color w:val="auto"/>
                <w:sz w:val="18"/>
                <w:szCs w:val="18"/>
              </w:rPr>
              <w:t>制冷系统密封性能</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4"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en-US" w:bidi="ar-SA"/>
              </w:rPr>
            </w:pPr>
            <w:bookmarkStart w:id="15" w:name="OLE_LINK10"/>
            <w:r>
              <w:rPr>
                <w:rFonts w:hint="eastAsia" w:ascii="宋体" w:hAnsi="宋体" w:eastAsia="宋体" w:cs="宋体"/>
                <w:color w:val="auto"/>
                <w:sz w:val="18"/>
                <w:szCs w:val="18"/>
              </w:rPr>
              <w:t>名义工况除湿性能</w:t>
            </w:r>
            <w:bookmarkEnd w:id="15"/>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5.6规定的</w:t>
            </w:r>
            <w:r>
              <w:rPr>
                <w:rFonts w:hint="eastAsia" w:ascii="宋体" w:hAnsi="宋体" w:eastAsia="宋体" w:cs="宋体"/>
                <w:color w:val="auto"/>
                <w:sz w:val="18"/>
                <w:szCs w:val="18"/>
              </w:rPr>
              <w:t>名义工况除湿性能</w:t>
            </w:r>
            <w:bookmarkStart w:id="16" w:name="OLE_LINK24"/>
            <w:r>
              <w:rPr>
                <w:rFonts w:hint="eastAsia" w:ascii="宋体" w:hAnsi="宋体" w:eastAsia="宋体" w:cs="宋体"/>
                <w:color w:val="auto"/>
                <w:sz w:val="18"/>
                <w:szCs w:val="18"/>
                <w:lang w:eastAsia="zh-CN"/>
              </w:rPr>
              <w:t>，其中单位消耗功率除湿量限值</w:t>
            </w:r>
            <w:bookmarkEnd w:id="16"/>
            <w:r>
              <w:rPr>
                <w:rFonts w:hint="eastAsia" w:ascii="宋体" w:hAnsi="宋体" w:eastAsia="宋体" w:cs="宋体"/>
                <w:color w:val="auto"/>
                <w:sz w:val="18"/>
                <w:szCs w:val="18"/>
                <w:lang w:eastAsia="zh-CN"/>
              </w:rPr>
              <w:t>如下表</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5.5规定的</w:t>
            </w:r>
            <w:r>
              <w:rPr>
                <w:rFonts w:hint="eastAsia" w:ascii="宋体" w:hAnsi="宋体" w:eastAsia="宋体" w:cs="宋体"/>
                <w:color w:val="auto"/>
                <w:sz w:val="18"/>
                <w:szCs w:val="18"/>
              </w:rPr>
              <w:t>名义工况除湿性能</w:t>
            </w:r>
            <w:r>
              <w:rPr>
                <w:rFonts w:hint="eastAsia" w:ascii="宋体" w:hAnsi="宋体" w:eastAsia="宋体" w:cs="宋体"/>
                <w:color w:val="auto"/>
                <w:sz w:val="18"/>
                <w:szCs w:val="18"/>
                <w:lang w:eastAsia="zh-CN"/>
              </w:rPr>
              <w:t>，其中单位消耗功率除湿量限值如下表：</w:t>
            </w:r>
          </w:p>
        </w:tc>
        <w:tc>
          <w:tcPr>
            <w:tcW w:w="424" w:type="pct"/>
            <w:vMerge w:val="restar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816" w:type="pct"/>
            <w:vAlign w:val="center"/>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rPr>
              <w:t>名义除湿量</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，kg/h</w:t>
            </w:r>
          </w:p>
        </w:tc>
        <w:tc>
          <w:tcPr>
            <w:tcW w:w="949" w:type="pct"/>
            <w:gridSpan w:val="2"/>
            <w:vAlign w:val="center"/>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rPr>
              <w:t>单位消耗功率除湿量限值，kg/(kW·h)</w:t>
            </w:r>
          </w:p>
        </w:tc>
        <w:tc>
          <w:tcPr>
            <w:tcW w:w="895" w:type="pct"/>
            <w:vAlign w:val="center"/>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rPr>
              <w:t>名义除湿量</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，kg/h</w:t>
            </w:r>
          </w:p>
        </w:tc>
        <w:tc>
          <w:tcPr>
            <w:tcW w:w="1005" w:type="pct"/>
            <w:gridSpan w:val="2"/>
            <w:vAlign w:val="center"/>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rPr>
              <w:t>单位消耗功率除湿量限值，kg/(kW·h)</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816" w:type="pct"/>
            <w:vAlign w:val="center"/>
          </w:tcPr>
          <w:p>
            <w:pPr>
              <w:pStyle w:val="41"/>
              <w:spacing w:before="0"/>
              <w:ind w:right="139" w:right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p>
        </w:tc>
        <w:tc>
          <w:tcPr>
            <w:tcW w:w="949" w:type="pct"/>
            <w:gridSpan w:val="2"/>
            <w:vAlign w:val="center"/>
          </w:tcPr>
          <w:p>
            <w:pPr>
              <w:pStyle w:val="41"/>
              <w:spacing w:before="0"/>
              <w:ind w:right="139" w:rightChars="0"/>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w:t>
            </w:r>
          </w:p>
        </w:tc>
        <w:tc>
          <w:tcPr>
            <w:tcW w:w="895" w:type="pct"/>
            <w:vAlign w:val="center"/>
          </w:tcPr>
          <w:p>
            <w:pPr>
              <w:pStyle w:val="41"/>
              <w:spacing w:before="0"/>
              <w:ind w:right="139" w:rightChars="0"/>
              <w:jc w:val="center"/>
              <w:rPr>
                <w:rFonts w:hint="eastAsia" w:ascii="宋体" w:hAnsi="宋体" w:eastAsia="宋体" w:cs="宋体"/>
                <w:color w:val="auto"/>
                <w:sz w:val="18"/>
                <w:szCs w:val="18"/>
              </w:rPr>
            </w:pPr>
            <w:r>
              <w:rPr>
                <w:rFonts w:hint="eastAsia" w:ascii="宋体" w:hAnsi="宋体" w:eastAsia="宋体" w:cs="宋体"/>
                <w:i/>
                <w:iCs/>
                <w:color w:val="auto"/>
                <w:sz w:val="18"/>
                <w:szCs w:val="18"/>
              </w:rPr>
              <w:t>DCR</w:t>
            </w:r>
            <w:r>
              <w:rPr>
                <w:rFonts w:hint="eastAsia" w:ascii="宋体" w:hAnsi="宋体" w:eastAsia="宋体" w:cs="宋体"/>
                <w:color w:val="auto"/>
                <w:sz w:val="18"/>
                <w:szCs w:val="18"/>
              </w:rPr>
              <w:t>≤0.</w:t>
            </w:r>
            <w:r>
              <w:rPr>
                <w:rFonts w:hint="eastAsia" w:ascii="宋体" w:hAnsi="宋体" w:eastAsia="宋体" w:cs="宋体"/>
                <w:color w:val="auto"/>
                <w:sz w:val="18"/>
                <w:szCs w:val="18"/>
                <w:lang w:val="en-US" w:eastAsia="zh-CN"/>
              </w:rPr>
              <w:t>25</w:t>
            </w:r>
          </w:p>
        </w:tc>
        <w:tc>
          <w:tcPr>
            <w:tcW w:w="1005" w:type="pct"/>
            <w:gridSpan w:val="2"/>
            <w:vAlign w:val="center"/>
          </w:tcPr>
          <w:p>
            <w:pPr>
              <w:pStyle w:val="41"/>
              <w:tabs>
                <w:tab w:val="left" w:pos="850"/>
              </w:tabs>
              <w:spacing w:before="52"/>
              <w:ind w:left="179" w:leftChars="0" w:right="145" w:rightChars="0"/>
              <w:jc w:val="center"/>
              <w:rPr>
                <w:rFonts w:hint="eastAsia" w:ascii="宋体" w:hAnsi="宋体" w:eastAsia="宋体" w:cs="宋体"/>
                <w:color w:val="auto"/>
                <w:spacing w:val="-4"/>
                <w:sz w:val="18"/>
                <w:szCs w:val="18"/>
                <w:lang w:val="en-US" w:eastAsia="zh-CN"/>
              </w:rPr>
            </w:pPr>
            <w:r>
              <w:rPr>
                <w:rFonts w:hint="eastAsia" w:ascii="宋体" w:hAnsi="宋体" w:eastAsia="宋体" w:cs="宋体"/>
                <w:color w:val="auto"/>
                <w:spacing w:val="-4"/>
                <w:sz w:val="18"/>
                <w:szCs w:val="18"/>
                <w:lang w:val="en-US" w:eastAsia="zh-CN"/>
              </w:rPr>
              <w:t>1.40</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816" w:type="pct"/>
            <w:vAlign w:val="center"/>
          </w:tcPr>
          <w:p>
            <w:pPr>
              <w:pStyle w:val="41"/>
              <w:spacing w:before="0"/>
              <w:ind w:right="139" w:rightChars="0"/>
              <w:jc w:val="center"/>
              <w:rPr>
                <w:rFonts w:hint="eastAsia" w:ascii="宋体" w:hAnsi="宋体" w:eastAsia="宋体" w:cs="宋体"/>
                <w:color w:val="auto"/>
                <w:sz w:val="18"/>
                <w:szCs w:val="18"/>
                <w:lang w:val="zh-CN" w:eastAsia="zh-CN" w:bidi="ar-SA"/>
              </w:rPr>
            </w:pPr>
            <w:bookmarkStart w:id="17" w:name="OLE_LINK25"/>
            <w:r>
              <w:rPr>
                <w:rFonts w:hint="eastAsia" w:ascii="宋体" w:hAnsi="宋体" w:eastAsia="宋体" w:cs="宋体"/>
                <w:i/>
                <w:iCs/>
                <w:color w:val="auto"/>
                <w:sz w:val="18"/>
                <w:szCs w:val="18"/>
              </w:rPr>
              <w:t>DCR</w:t>
            </w:r>
            <w:r>
              <w:rPr>
                <w:rFonts w:hint="eastAsia" w:ascii="宋体" w:hAnsi="宋体" w:eastAsia="宋体" w:cs="宋体"/>
                <w:color w:val="auto"/>
                <w:sz w:val="18"/>
                <w:szCs w:val="18"/>
              </w:rPr>
              <w:t>≤0.50</w:t>
            </w:r>
            <w:bookmarkEnd w:id="17"/>
          </w:p>
        </w:tc>
        <w:tc>
          <w:tcPr>
            <w:tcW w:w="949" w:type="pct"/>
            <w:gridSpan w:val="2"/>
            <w:vAlign w:val="top"/>
          </w:tcPr>
          <w:p>
            <w:pPr>
              <w:pStyle w:val="41"/>
              <w:tabs>
                <w:tab w:val="left" w:pos="850"/>
              </w:tabs>
              <w:spacing w:before="52"/>
              <w:ind w:left="179" w:leftChars="0" w:right="145"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4"/>
                <w:sz w:val="18"/>
                <w:szCs w:val="18"/>
                <w:lang w:val="en-US" w:eastAsia="zh-CN"/>
              </w:rPr>
              <w:t>1.60</w:t>
            </w:r>
          </w:p>
        </w:tc>
        <w:tc>
          <w:tcPr>
            <w:tcW w:w="895" w:type="pct"/>
            <w:vAlign w:val="center"/>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rPr>
              <w:t>0.</w:t>
            </w:r>
            <w:r>
              <w:rPr>
                <w:rFonts w:hint="eastAsia" w:ascii="宋体" w:hAnsi="宋体" w:eastAsia="宋体" w:cs="宋体"/>
                <w:color w:val="auto"/>
                <w:sz w:val="18"/>
                <w:szCs w:val="18"/>
                <w:lang w:val="en-US" w:eastAsia="zh-CN"/>
              </w:rPr>
              <w:t>25</w:t>
            </w:r>
            <w:r>
              <w:rPr>
                <w:rFonts w:hint="eastAsia" w:ascii="宋体" w:hAnsi="宋体" w:eastAsia="宋体" w:cs="宋体"/>
                <w:color w:val="auto"/>
                <w:sz w:val="18"/>
                <w:szCs w:val="18"/>
              </w:rPr>
              <w:t>&lt;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0.50</w:t>
            </w:r>
          </w:p>
        </w:tc>
        <w:tc>
          <w:tcPr>
            <w:tcW w:w="1005" w:type="pct"/>
            <w:gridSpan w:val="2"/>
            <w:vAlign w:val="top"/>
          </w:tcPr>
          <w:p>
            <w:pPr>
              <w:pStyle w:val="41"/>
              <w:tabs>
                <w:tab w:val="left" w:pos="850"/>
              </w:tabs>
              <w:spacing w:before="52"/>
              <w:ind w:left="179" w:leftChars="0" w:right="145" w:rightChars="0"/>
              <w:jc w:val="center"/>
              <w:rPr>
                <w:rFonts w:hint="eastAsia" w:ascii="宋体" w:hAnsi="宋体" w:eastAsia="宋体" w:cs="宋体"/>
                <w:color w:val="auto"/>
                <w:spacing w:val="-4"/>
                <w:sz w:val="18"/>
                <w:szCs w:val="18"/>
                <w:lang w:val="en-US" w:eastAsia="zh-CN"/>
              </w:rPr>
            </w:pPr>
            <w:r>
              <w:rPr>
                <w:rFonts w:hint="eastAsia" w:ascii="宋体" w:hAnsi="宋体" w:eastAsia="宋体" w:cs="宋体"/>
                <w:color w:val="auto"/>
                <w:spacing w:val="-4"/>
                <w:sz w:val="18"/>
                <w:szCs w:val="18"/>
                <w:lang w:val="en-US" w:eastAsia="zh-CN"/>
              </w:rPr>
              <w:t>1.45</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816" w:type="pct"/>
            <w:vAlign w:val="center"/>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rPr>
              <w:t>0.50&lt;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≤1.00</w:t>
            </w:r>
          </w:p>
        </w:tc>
        <w:tc>
          <w:tcPr>
            <w:tcW w:w="949" w:type="pct"/>
            <w:gridSpan w:val="2"/>
            <w:vAlign w:val="top"/>
          </w:tcPr>
          <w:p>
            <w:pPr>
              <w:pStyle w:val="41"/>
              <w:tabs>
                <w:tab w:val="left" w:pos="850"/>
              </w:tabs>
              <w:spacing w:before="45"/>
              <w:ind w:left="179" w:leftChars="0" w:right="145"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4"/>
                <w:sz w:val="18"/>
                <w:szCs w:val="18"/>
                <w:lang w:val="en-US" w:eastAsia="zh-CN"/>
              </w:rPr>
              <w:t>1.80</w:t>
            </w:r>
          </w:p>
        </w:tc>
        <w:tc>
          <w:tcPr>
            <w:tcW w:w="895" w:type="pct"/>
            <w:vAlign w:val="center"/>
          </w:tcPr>
          <w:p>
            <w:pPr>
              <w:pStyle w:val="41"/>
              <w:spacing w:before="0"/>
              <w:ind w:right="139" w:rightChars="0"/>
              <w:jc w:val="center"/>
              <w:rPr>
                <w:rFonts w:hint="eastAsia" w:ascii="宋体" w:hAnsi="宋体" w:eastAsia="宋体" w:cs="宋体"/>
                <w:color w:val="auto"/>
                <w:sz w:val="18"/>
                <w:szCs w:val="18"/>
                <w:lang w:val="en-US" w:eastAsia="zh-CN" w:bidi="ar-SA"/>
              </w:rPr>
            </w:pPr>
            <w:bookmarkStart w:id="18" w:name="OLE_LINK26"/>
            <w:r>
              <w:rPr>
                <w:rFonts w:hint="eastAsia" w:ascii="宋体" w:hAnsi="宋体" w:eastAsia="宋体" w:cs="宋体"/>
                <w:color w:val="auto"/>
                <w:sz w:val="18"/>
                <w:szCs w:val="18"/>
              </w:rPr>
              <w:t>0.50&lt;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≤1.00</w:t>
            </w:r>
            <w:bookmarkEnd w:id="18"/>
          </w:p>
        </w:tc>
        <w:tc>
          <w:tcPr>
            <w:tcW w:w="1005" w:type="pct"/>
            <w:gridSpan w:val="2"/>
            <w:vAlign w:val="top"/>
          </w:tcPr>
          <w:p>
            <w:pPr>
              <w:pStyle w:val="41"/>
              <w:tabs>
                <w:tab w:val="left" w:pos="850"/>
              </w:tabs>
              <w:spacing w:before="52"/>
              <w:ind w:left="179" w:leftChars="0" w:right="145" w:rightChars="0"/>
              <w:jc w:val="center"/>
              <w:rPr>
                <w:rFonts w:hint="eastAsia" w:ascii="宋体" w:hAnsi="宋体" w:eastAsia="宋体" w:cs="宋体"/>
                <w:color w:val="auto"/>
                <w:spacing w:val="-4"/>
                <w:sz w:val="18"/>
                <w:szCs w:val="18"/>
                <w:lang w:val="en-US" w:eastAsia="zh-CN"/>
              </w:rPr>
            </w:pPr>
            <w:r>
              <w:rPr>
                <w:rFonts w:hint="eastAsia" w:ascii="宋体" w:hAnsi="宋体" w:eastAsia="宋体" w:cs="宋体"/>
                <w:color w:val="auto"/>
                <w:spacing w:val="-4"/>
                <w:sz w:val="18"/>
                <w:szCs w:val="18"/>
                <w:lang w:val="en-US" w:eastAsia="zh-CN"/>
              </w:rPr>
              <w:t>1.60</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816" w:type="pct"/>
            <w:vAlign w:val="center"/>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rPr>
              <w:t>1.00&lt;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≤2.00</w:t>
            </w:r>
          </w:p>
        </w:tc>
        <w:tc>
          <w:tcPr>
            <w:tcW w:w="949" w:type="pct"/>
            <w:gridSpan w:val="2"/>
            <w:vAlign w:val="top"/>
          </w:tcPr>
          <w:p>
            <w:pPr>
              <w:pStyle w:val="41"/>
              <w:tabs>
                <w:tab w:val="left" w:pos="850"/>
              </w:tabs>
              <w:spacing w:before="42"/>
              <w:ind w:left="179" w:leftChars="0" w:right="145"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4"/>
                <w:sz w:val="18"/>
                <w:szCs w:val="18"/>
                <w:lang w:val="en-US" w:eastAsia="zh-CN"/>
              </w:rPr>
              <w:t>1.90</w:t>
            </w:r>
          </w:p>
        </w:tc>
        <w:tc>
          <w:tcPr>
            <w:tcW w:w="895" w:type="pct"/>
            <w:vAlign w:val="center"/>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rPr>
              <w:t>1.00&lt;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≤2.00</w:t>
            </w:r>
          </w:p>
        </w:tc>
        <w:tc>
          <w:tcPr>
            <w:tcW w:w="1005" w:type="pct"/>
            <w:gridSpan w:val="2"/>
            <w:vAlign w:val="top"/>
          </w:tcPr>
          <w:p>
            <w:pPr>
              <w:pStyle w:val="41"/>
              <w:tabs>
                <w:tab w:val="left" w:pos="850"/>
              </w:tabs>
              <w:spacing w:before="52"/>
              <w:ind w:left="179" w:leftChars="0" w:right="145" w:rightChars="0"/>
              <w:jc w:val="center"/>
              <w:rPr>
                <w:rFonts w:hint="eastAsia" w:ascii="宋体" w:hAnsi="宋体" w:eastAsia="宋体" w:cs="宋体"/>
                <w:color w:val="auto"/>
                <w:spacing w:val="-4"/>
                <w:sz w:val="18"/>
                <w:szCs w:val="18"/>
                <w:lang w:val="en-US" w:eastAsia="zh-CN"/>
              </w:rPr>
            </w:pPr>
            <w:r>
              <w:rPr>
                <w:rFonts w:hint="eastAsia" w:ascii="宋体" w:hAnsi="宋体" w:eastAsia="宋体" w:cs="宋体"/>
                <w:color w:val="auto"/>
                <w:spacing w:val="-4"/>
                <w:sz w:val="18"/>
                <w:szCs w:val="18"/>
                <w:lang w:val="en-US" w:eastAsia="zh-CN"/>
              </w:rPr>
              <w:t>1.70</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816" w:type="pct"/>
            <w:vAlign w:val="center"/>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rPr>
              <w:t>2.00&lt;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≤2.50</w:t>
            </w:r>
          </w:p>
        </w:tc>
        <w:tc>
          <w:tcPr>
            <w:tcW w:w="949" w:type="pct"/>
            <w:gridSpan w:val="2"/>
            <w:vAlign w:val="top"/>
          </w:tcPr>
          <w:p>
            <w:pPr>
              <w:pStyle w:val="41"/>
              <w:tabs>
                <w:tab w:val="left" w:pos="850"/>
              </w:tabs>
              <w:spacing w:before="42"/>
              <w:ind w:left="179" w:leftChars="0" w:right="145"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4"/>
                <w:sz w:val="18"/>
                <w:szCs w:val="18"/>
                <w:lang w:val="en-US" w:eastAsia="zh-CN"/>
              </w:rPr>
              <w:t>2.10</w:t>
            </w:r>
          </w:p>
        </w:tc>
        <w:tc>
          <w:tcPr>
            <w:tcW w:w="895" w:type="pct"/>
            <w:vAlign w:val="center"/>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rPr>
              <w:t>2.00&lt;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≤2.50</w:t>
            </w:r>
          </w:p>
        </w:tc>
        <w:tc>
          <w:tcPr>
            <w:tcW w:w="1005" w:type="pct"/>
            <w:gridSpan w:val="2"/>
            <w:vAlign w:val="top"/>
          </w:tcPr>
          <w:p>
            <w:pPr>
              <w:pStyle w:val="41"/>
              <w:tabs>
                <w:tab w:val="left" w:pos="850"/>
              </w:tabs>
              <w:spacing w:before="52"/>
              <w:ind w:left="179" w:leftChars="0" w:right="145" w:rightChars="0"/>
              <w:jc w:val="center"/>
              <w:rPr>
                <w:rFonts w:hint="eastAsia" w:ascii="宋体" w:hAnsi="宋体" w:eastAsia="宋体" w:cs="宋体"/>
                <w:color w:val="auto"/>
                <w:spacing w:val="-4"/>
                <w:sz w:val="18"/>
                <w:szCs w:val="18"/>
                <w:lang w:val="en-US" w:eastAsia="zh-CN"/>
              </w:rPr>
            </w:pPr>
            <w:r>
              <w:rPr>
                <w:rFonts w:hint="eastAsia" w:ascii="宋体" w:hAnsi="宋体" w:eastAsia="宋体" w:cs="宋体"/>
                <w:color w:val="auto"/>
                <w:spacing w:val="-4"/>
                <w:sz w:val="18"/>
                <w:szCs w:val="18"/>
                <w:lang w:val="en-US" w:eastAsia="zh-CN"/>
              </w:rPr>
              <w:t>1.90</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zh-CN" w:eastAsia="zh-CN" w:bidi="ar-SA"/>
              </w:rPr>
            </w:pPr>
            <w:bookmarkStart w:id="19" w:name="OLE_LINK14"/>
            <w:r>
              <w:rPr>
                <w:rFonts w:hint="eastAsia" w:ascii="宋体" w:hAnsi="宋体" w:eastAsia="宋体" w:cs="宋体"/>
                <w:color w:val="auto"/>
                <w:sz w:val="18"/>
                <w:szCs w:val="18"/>
              </w:rPr>
              <w:t>高温工况除湿性能</w:t>
            </w:r>
            <w:bookmarkEnd w:id="19"/>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5.7规定的</w:t>
            </w:r>
            <w:r>
              <w:rPr>
                <w:rFonts w:hint="eastAsia" w:ascii="宋体" w:hAnsi="宋体" w:eastAsia="宋体" w:cs="宋体"/>
                <w:color w:val="auto"/>
                <w:sz w:val="18"/>
                <w:szCs w:val="18"/>
              </w:rPr>
              <w:t>高温工况除湿性能</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5.6规定的</w:t>
            </w:r>
            <w:r>
              <w:rPr>
                <w:rFonts w:hint="eastAsia" w:ascii="宋体" w:hAnsi="宋体" w:eastAsia="宋体" w:cs="宋体"/>
                <w:color w:val="auto"/>
                <w:sz w:val="18"/>
                <w:szCs w:val="18"/>
              </w:rPr>
              <w:t>高温工况除湿性能</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default"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4"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bookmarkStart w:id="20" w:name="OLE_LINK15"/>
            <w:r>
              <w:rPr>
                <w:rFonts w:hint="eastAsia" w:ascii="宋体" w:hAnsi="宋体" w:eastAsia="宋体" w:cs="宋体"/>
                <w:color w:val="auto"/>
                <w:sz w:val="18"/>
                <w:szCs w:val="18"/>
              </w:rPr>
              <w:t>最大负荷运行</w:t>
            </w:r>
            <w:bookmarkEnd w:id="20"/>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5.8规定的</w:t>
            </w:r>
            <w:r>
              <w:rPr>
                <w:rFonts w:hint="eastAsia" w:ascii="宋体" w:hAnsi="宋体" w:eastAsia="宋体" w:cs="宋体"/>
                <w:color w:val="auto"/>
                <w:sz w:val="18"/>
                <w:szCs w:val="18"/>
              </w:rPr>
              <w:t>最大负荷运行</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5.7规定的</w:t>
            </w:r>
            <w:r>
              <w:rPr>
                <w:rFonts w:hint="eastAsia" w:ascii="宋体" w:hAnsi="宋体" w:eastAsia="宋体" w:cs="宋体"/>
                <w:color w:val="auto"/>
                <w:sz w:val="18"/>
                <w:szCs w:val="18"/>
              </w:rPr>
              <w:t>最大负荷运行</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bookmarkStart w:id="21" w:name="OLE_LINK27"/>
            <w:r>
              <w:rPr>
                <w:rFonts w:hint="eastAsia" w:ascii="宋体" w:hAnsi="宋体" w:eastAsia="宋体" w:cs="宋体"/>
                <w:color w:val="auto"/>
                <w:spacing w:val="0"/>
                <w:sz w:val="18"/>
                <w:szCs w:val="18"/>
                <w:shd w:val="clear" w:color="auto" w:fill="auto"/>
                <w:lang w:eastAsia="zh-CN"/>
              </w:rPr>
              <w:t>一致</w:t>
            </w:r>
            <w:bookmarkEnd w:id="2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4"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bookmarkStart w:id="22" w:name="OLE_LINK16"/>
            <w:r>
              <w:rPr>
                <w:rFonts w:hint="eastAsia" w:ascii="宋体" w:hAnsi="宋体" w:eastAsia="宋体" w:cs="宋体"/>
                <w:color w:val="auto"/>
                <w:sz w:val="18"/>
                <w:szCs w:val="18"/>
              </w:rPr>
              <w:t>低温除湿运行</w:t>
            </w:r>
            <w:bookmarkEnd w:id="22"/>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5.9规定的</w:t>
            </w:r>
            <w:r>
              <w:rPr>
                <w:rFonts w:hint="eastAsia" w:ascii="宋体" w:hAnsi="宋体" w:eastAsia="宋体" w:cs="宋体"/>
                <w:color w:val="auto"/>
                <w:sz w:val="18"/>
                <w:szCs w:val="18"/>
              </w:rPr>
              <w:t>低温除湿运行</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5.8规定的</w:t>
            </w:r>
            <w:r>
              <w:rPr>
                <w:rFonts w:hint="eastAsia" w:ascii="宋体" w:hAnsi="宋体" w:eastAsia="宋体" w:cs="宋体"/>
                <w:color w:val="auto"/>
                <w:sz w:val="18"/>
                <w:szCs w:val="18"/>
              </w:rPr>
              <w:t>低温除湿运行</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bookmarkStart w:id="23" w:name="OLE_LINK18"/>
            <w:r>
              <w:rPr>
                <w:rFonts w:hint="eastAsia" w:ascii="宋体" w:hAnsi="宋体" w:eastAsia="宋体" w:cs="宋体"/>
                <w:color w:val="auto"/>
                <w:sz w:val="18"/>
                <w:szCs w:val="18"/>
              </w:rPr>
              <w:t>凝露和凝结水排除</w:t>
            </w:r>
            <w:bookmarkEnd w:id="23"/>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5.10规定的</w:t>
            </w:r>
            <w:r>
              <w:rPr>
                <w:rFonts w:hint="eastAsia" w:ascii="宋体" w:hAnsi="宋体" w:eastAsia="宋体" w:cs="宋体"/>
                <w:color w:val="auto"/>
                <w:sz w:val="18"/>
                <w:szCs w:val="18"/>
              </w:rPr>
              <w:t>凝露和凝结水排除</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5.9规定的</w:t>
            </w:r>
            <w:r>
              <w:rPr>
                <w:rFonts w:hint="eastAsia" w:ascii="宋体" w:hAnsi="宋体" w:eastAsia="宋体" w:cs="宋体"/>
                <w:color w:val="auto"/>
                <w:sz w:val="18"/>
                <w:szCs w:val="18"/>
              </w:rPr>
              <w:t>凝露和凝结水排除</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bookmarkStart w:id="24" w:name="OLE_LINK19"/>
            <w:r>
              <w:rPr>
                <w:rFonts w:hint="eastAsia" w:ascii="宋体" w:hAnsi="宋体" w:eastAsia="宋体" w:cs="宋体"/>
                <w:color w:val="auto"/>
                <w:sz w:val="18"/>
                <w:szCs w:val="18"/>
              </w:rPr>
              <w:t>溢水绝缘性能</w:t>
            </w:r>
            <w:bookmarkEnd w:id="24"/>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5.11规定的</w:t>
            </w:r>
            <w:r>
              <w:rPr>
                <w:rFonts w:hint="eastAsia" w:ascii="宋体" w:hAnsi="宋体" w:eastAsia="宋体" w:cs="宋体"/>
                <w:color w:val="auto"/>
                <w:sz w:val="18"/>
                <w:szCs w:val="18"/>
              </w:rPr>
              <w:t>溢水绝缘性能</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5.10规定的</w:t>
            </w:r>
            <w:r>
              <w:rPr>
                <w:rFonts w:hint="eastAsia" w:ascii="宋体" w:hAnsi="宋体" w:eastAsia="宋体" w:cs="宋体"/>
                <w:color w:val="auto"/>
                <w:sz w:val="18"/>
                <w:szCs w:val="18"/>
              </w:rPr>
              <w:t>溢水绝缘性能</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bookmarkStart w:id="25" w:name="OLE_LINK20"/>
            <w:r>
              <w:rPr>
                <w:rFonts w:hint="eastAsia" w:ascii="宋体" w:hAnsi="宋体" w:eastAsia="宋体" w:cs="宋体"/>
                <w:color w:val="auto"/>
                <w:sz w:val="18"/>
                <w:szCs w:val="18"/>
              </w:rPr>
              <w:t>限制热交换</w:t>
            </w:r>
            <w:bookmarkEnd w:id="25"/>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5.12规定的</w:t>
            </w:r>
            <w:r>
              <w:rPr>
                <w:rFonts w:hint="eastAsia" w:ascii="宋体" w:hAnsi="宋体" w:eastAsia="宋体" w:cs="宋体"/>
                <w:color w:val="auto"/>
                <w:sz w:val="18"/>
                <w:szCs w:val="18"/>
              </w:rPr>
              <w:t>限制热交换</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5.11规定的</w:t>
            </w:r>
            <w:r>
              <w:rPr>
                <w:rFonts w:hint="eastAsia" w:ascii="宋体" w:hAnsi="宋体" w:eastAsia="宋体" w:cs="宋体"/>
                <w:color w:val="auto"/>
                <w:sz w:val="18"/>
                <w:szCs w:val="18"/>
              </w:rPr>
              <w:t>限制热交换</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bookmarkStart w:id="26" w:name="OLE_LINK21"/>
            <w:r>
              <w:rPr>
                <w:rFonts w:hint="eastAsia" w:ascii="宋体" w:hAnsi="宋体" w:eastAsia="宋体" w:cs="宋体"/>
                <w:color w:val="auto"/>
                <w:sz w:val="18"/>
                <w:szCs w:val="18"/>
              </w:rPr>
              <w:t>安全要求</w:t>
            </w:r>
            <w:bookmarkEnd w:id="26"/>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5.13规定的</w:t>
            </w:r>
            <w:r>
              <w:rPr>
                <w:rFonts w:hint="eastAsia" w:ascii="宋体" w:hAnsi="宋体" w:eastAsia="宋体" w:cs="宋体"/>
                <w:color w:val="auto"/>
                <w:sz w:val="18"/>
                <w:szCs w:val="18"/>
              </w:rPr>
              <w:t>安全要求</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5.12规定的</w:t>
            </w:r>
            <w:r>
              <w:rPr>
                <w:rFonts w:hint="eastAsia" w:ascii="宋体" w:hAnsi="宋体" w:eastAsia="宋体" w:cs="宋体"/>
                <w:color w:val="auto"/>
                <w:sz w:val="18"/>
                <w:szCs w:val="18"/>
              </w:rPr>
              <w:t>安全要求</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29"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bookmarkStart w:id="27" w:name="OLE_LINK22"/>
            <w:r>
              <w:rPr>
                <w:rFonts w:hint="eastAsia" w:ascii="宋体" w:hAnsi="宋体" w:eastAsia="宋体" w:cs="宋体"/>
                <w:color w:val="auto"/>
                <w:sz w:val="18"/>
                <w:szCs w:val="18"/>
              </w:rPr>
              <w:t>电磁兼容</w:t>
            </w:r>
            <w:bookmarkEnd w:id="27"/>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5.14规定的</w:t>
            </w:r>
            <w:r>
              <w:rPr>
                <w:rFonts w:hint="eastAsia" w:ascii="宋体" w:hAnsi="宋体" w:eastAsia="宋体" w:cs="宋体"/>
                <w:color w:val="auto"/>
                <w:sz w:val="18"/>
                <w:szCs w:val="18"/>
              </w:rPr>
              <w:t>电磁兼容</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5.13规定的</w:t>
            </w:r>
            <w:r>
              <w:rPr>
                <w:rFonts w:hint="eastAsia" w:ascii="宋体" w:hAnsi="宋体" w:eastAsia="宋体" w:cs="宋体"/>
                <w:color w:val="auto"/>
                <w:sz w:val="18"/>
                <w:szCs w:val="18"/>
              </w:rPr>
              <w:t>电磁兼容</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bookmarkStart w:id="28" w:name="OLE_LINK23"/>
            <w:r>
              <w:rPr>
                <w:rFonts w:hint="eastAsia" w:ascii="宋体" w:hAnsi="宋体" w:eastAsia="宋体" w:cs="宋体"/>
                <w:color w:val="auto"/>
                <w:sz w:val="18"/>
                <w:szCs w:val="18"/>
              </w:rPr>
              <w:t>噪声</w:t>
            </w:r>
            <w:bookmarkEnd w:id="28"/>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5.15规定的</w:t>
            </w:r>
            <w:r>
              <w:rPr>
                <w:rFonts w:hint="eastAsia" w:ascii="宋体" w:hAnsi="宋体" w:eastAsia="宋体" w:cs="宋体"/>
                <w:color w:val="auto"/>
                <w:sz w:val="18"/>
                <w:szCs w:val="18"/>
              </w:rPr>
              <w:t>噪声</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国标中</w:t>
            </w:r>
            <w:r>
              <w:rPr>
                <w:rFonts w:hint="eastAsia" w:ascii="宋体" w:hAnsi="宋体" w:eastAsia="宋体" w:cs="宋体"/>
                <w:color w:val="auto"/>
                <w:sz w:val="18"/>
                <w:szCs w:val="18"/>
                <w:lang w:val="en-US" w:eastAsia="zh-CN"/>
              </w:rPr>
              <w:t>5.14规定的</w:t>
            </w:r>
            <w:r>
              <w:rPr>
                <w:rFonts w:hint="eastAsia" w:ascii="宋体" w:hAnsi="宋体" w:eastAsia="宋体" w:cs="宋体"/>
                <w:color w:val="auto"/>
                <w:sz w:val="18"/>
                <w:szCs w:val="18"/>
              </w:rPr>
              <w:t>噪声</w:t>
            </w:r>
          </w:p>
        </w:tc>
        <w:tc>
          <w:tcPr>
            <w:tcW w:w="424" w:type="pct"/>
            <w:vMerge w:val="restar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966" w:type="pct"/>
            <w:gridSpan w:val="2"/>
            <w:vAlign w:val="top"/>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rPr>
              <w:t>名义除湿量</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，kg/h</w:t>
            </w:r>
          </w:p>
        </w:tc>
        <w:tc>
          <w:tcPr>
            <w:tcW w:w="799" w:type="pct"/>
            <w:vAlign w:val="top"/>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rPr>
              <w:t>噪声限值,dB(A)</w:t>
            </w:r>
          </w:p>
        </w:tc>
        <w:tc>
          <w:tcPr>
            <w:tcW w:w="1013" w:type="pct"/>
            <w:gridSpan w:val="2"/>
            <w:vAlign w:val="top"/>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rPr>
              <w:t>名义除湿量</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，kg/h</w:t>
            </w:r>
          </w:p>
        </w:tc>
        <w:tc>
          <w:tcPr>
            <w:tcW w:w="887" w:type="pct"/>
            <w:vAlign w:val="top"/>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rPr>
              <w:t>噪声限值,dB(A)</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966" w:type="pct"/>
            <w:gridSpan w:val="2"/>
            <w:vAlign w:val="top"/>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i/>
                <w:iCs/>
                <w:color w:val="auto"/>
                <w:sz w:val="18"/>
                <w:szCs w:val="18"/>
              </w:rPr>
              <w:t>DCR</w:t>
            </w:r>
            <w:r>
              <w:rPr>
                <w:rFonts w:hint="eastAsia" w:ascii="宋体" w:hAnsi="宋体" w:eastAsia="宋体" w:cs="宋体"/>
                <w:color w:val="auto"/>
                <w:sz w:val="18"/>
                <w:szCs w:val="18"/>
              </w:rPr>
              <w:t>≤0.25</w:t>
            </w:r>
          </w:p>
        </w:tc>
        <w:tc>
          <w:tcPr>
            <w:tcW w:w="799" w:type="pct"/>
            <w:vAlign w:val="top"/>
          </w:tcPr>
          <w:p>
            <w:pPr>
              <w:pStyle w:val="41"/>
              <w:tabs>
                <w:tab w:val="left" w:pos="850"/>
              </w:tabs>
              <w:spacing w:before="52"/>
              <w:ind w:left="180" w:leftChars="0" w:right="145"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5"/>
                <w:sz w:val="18"/>
                <w:szCs w:val="18"/>
                <w:lang w:val="en-US" w:eastAsia="zh-CN"/>
              </w:rPr>
              <w:t>39</w:t>
            </w:r>
          </w:p>
        </w:tc>
        <w:tc>
          <w:tcPr>
            <w:tcW w:w="1013" w:type="pct"/>
            <w:gridSpan w:val="2"/>
            <w:vAlign w:val="top"/>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i/>
                <w:iCs/>
                <w:color w:val="auto"/>
                <w:sz w:val="18"/>
                <w:szCs w:val="18"/>
              </w:rPr>
              <w:t>DCR</w:t>
            </w:r>
            <w:r>
              <w:rPr>
                <w:rFonts w:hint="eastAsia" w:ascii="宋体" w:hAnsi="宋体" w:eastAsia="宋体" w:cs="宋体"/>
                <w:color w:val="auto"/>
                <w:sz w:val="18"/>
                <w:szCs w:val="18"/>
              </w:rPr>
              <w:t>≤0.25</w:t>
            </w:r>
          </w:p>
        </w:tc>
        <w:tc>
          <w:tcPr>
            <w:tcW w:w="887" w:type="pct"/>
            <w:vAlign w:val="top"/>
          </w:tcPr>
          <w:p>
            <w:pPr>
              <w:pStyle w:val="41"/>
              <w:tabs>
                <w:tab w:val="left" w:pos="850"/>
              </w:tabs>
              <w:spacing w:before="52"/>
              <w:ind w:left="180" w:leftChars="0" w:right="145"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5"/>
                <w:sz w:val="18"/>
                <w:szCs w:val="18"/>
                <w:lang w:val="en-US" w:eastAsia="zh-CN"/>
              </w:rPr>
              <w:t>40</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966" w:type="pct"/>
            <w:gridSpan w:val="2"/>
            <w:vAlign w:val="top"/>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rPr>
              <w:t>0.25&lt;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≤0.50</w:t>
            </w:r>
          </w:p>
        </w:tc>
        <w:tc>
          <w:tcPr>
            <w:tcW w:w="799" w:type="pct"/>
            <w:vAlign w:val="top"/>
          </w:tcPr>
          <w:p>
            <w:pPr>
              <w:pStyle w:val="41"/>
              <w:tabs>
                <w:tab w:val="left" w:pos="850"/>
              </w:tabs>
              <w:spacing w:before="52"/>
              <w:ind w:left="180" w:leftChars="0" w:right="145"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5"/>
                <w:sz w:val="18"/>
                <w:szCs w:val="18"/>
                <w:lang w:val="en-US" w:eastAsia="zh-CN"/>
              </w:rPr>
              <w:t>42</w:t>
            </w:r>
          </w:p>
        </w:tc>
        <w:tc>
          <w:tcPr>
            <w:tcW w:w="1013" w:type="pct"/>
            <w:gridSpan w:val="2"/>
            <w:vAlign w:val="top"/>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rPr>
              <w:t>0.25&lt;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≤0.50</w:t>
            </w:r>
          </w:p>
        </w:tc>
        <w:tc>
          <w:tcPr>
            <w:tcW w:w="887" w:type="pct"/>
            <w:vAlign w:val="top"/>
          </w:tcPr>
          <w:p>
            <w:pPr>
              <w:pStyle w:val="41"/>
              <w:tabs>
                <w:tab w:val="left" w:pos="850"/>
              </w:tabs>
              <w:spacing w:before="52"/>
              <w:ind w:left="180" w:leftChars="0" w:right="145"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5"/>
                <w:sz w:val="18"/>
                <w:szCs w:val="18"/>
                <w:lang w:val="en-US" w:eastAsia="zh-CN"/>
              </w:rPr>
              <w:t>44</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966" w:type="pct"/>
            <w:gridSpan w:val="2"/>
            <w:vAlign w:val="top"/>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rPr>
              <w:t>0.50&lt;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≤1.00</w:t>
            </w:r>
          </w:p>
        </w:tc>
        <w:tc>
          <w:tcPr>
            <w:tcW w:w="799" w:type="pct"/>
            <w:vAlign w:val="top"/>
          </w:tcPr>
          <w:p>
            <w:pPr>
              <w:pStyle w:val="41"/>
              <w:tabs>
                <w:tab w:val="left" w:pos="850"/>
              </w:tabs>
              <w:spacing w:before="55"/>
              <w:ind w:left="180" w:leftChars="0" w:right="145"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5"/>
                <w:sz w:val="18"/>
                <w:szCs w:val="18"/>
                <w:lang w:val="en-US" w:eastAsia="zh-CN"/>
              </w:rPr>
              <w:t>50</w:t>
            </w:r>
          </w:p>
        </w:tc>
        <w:tc>
          <w:tcPr>
            <w:tcW w:w="1013" w:type="pct"/>
            <w:gridSpan w:val="2"/>
            <w:vAlign w:val="top"/>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rPr>
              <w:t>0.50&lt;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≤1.00</w:t>
            </w:r>
          </w:p>
        </w:tc>
        <w:tc>
          <w:tcPr>
            <w:tcW w:w="887" w:type="pct"/>
            <w:vAlign w:val="top"/>
          </w:tcPr>
          <w:p>
            <w:pPr>
              <w:pStyle w:val="41"/>
              <w:tabs>
                <w:tab w:val="left" w:pos="850"/>
              </w:tabs>
              <w:spacing w:before="55"/>
              <w:ind w:left="180" w:leftChars="0" w:right="145"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5"/>
                <w:sz w:val="18"/>
                <w:szCs w:val="18"/>
                <w:lang w:val="en-US" w:eastAsia="zh-CN"/>
              </w:rPr>
              <w:t>52</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966" w:type="pct"/>
            <w:gridSpan w:val="2"/>
            <w:vAlign w:val="top"/>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rPr>
              <w:t>1.00&lt;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≤2.00</w:t>
            </w:r>
          </w:p>
        </w:tc>
        <w:tc>
          <w:tcPr>
            <w:tcW w:w="799" w:type="pct"/>
            <w:vAlign w:val="top"/>
          </w:tcPr>
          <w:p>
            <w:pPr>
              <w:pStyle w:val="41"/>
              <w:tabs>
                <w:tab w:val="left" w:pos="850"/>
              </w:tabs>
              <w:spacing w:before="52"/>
              <w:ind w:left="180" w:leftChars="0" w:right="145"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5"/>
                <w:sz w:val="18"/>
                <w:szCs w:val="18"/>
                <w:lang w:val="en-US" w:eastAsia="zh-CN"/>
              </w:rPr>
              <w:t>54</w:t>
            </w:r>
          </w:p>
        </w:tc>
        <w:tc>
          <w:tcPr>
            <w:tcW w:w="1013" w:type="pct"/>
            <w:gridSpan w:val="2"/>
            <w:vAlign w:val="top"/>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rPr>
              <w:t>1.00&lt;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≤2.00</w:t>
            </w:r>
          </w:p>
        </w:tc>
        <w:tc>
          <w:tcPr>
            <w:tcW w:w="887" w:type="pct"/>
            <w:vAlign w:val="top"/>
          </w:tcPr>
          <w:p>
            <w:pPr>
              <w:pStyle w:val="41"/>
              <w:tabs>
                <w:tab w:val="left" w:pos="850"/>
              </w:tabs>
              <w:spacing w:before="52"/>
              <w:ind w:left="180" w:leftChars="0" w:right="145"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5"/>
                <w:sz w:val="18"/>
                <w:szCs w:val="18"/>
                <w:lang w:val="en-US" w:eastAsia="zh-CN"/>
              </w:rPr>
              <w:t>56</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966" w:type="pct"/>
            <w:gridSpan w:val="2"/>
            <w:vAlign w:val="top"/>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rPr>
              <w:t>2.00&lt;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≤2.50</w:t>
            </w:r>
          </w:p>
        </w:tc>
        <w:tc>
          <w:tcPr>
            <w:tcW w:w="799" w:type="pct"/>
            <w:vAlign w:val="top"/>
          </w:tcPr>
          <w:p>
            <w:pPr>
              <w:pStyle w:val="41"/>
              <w:tabs>
                <w:tab w:val="left" w:pos="850"/>
              </w:tabs>
              <w:spacing w:before="52"/>
              <w:ind w:left="180" w:leftChars="0" w:right="145"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5"/>
                <w:sz w:val="18"/>
                <w:szCs w:val="18"/>
                <w:lang w:val="en-US" w:eastAsia="zh-CN"/>
              </w:rPr>
              <w:t>56</w:t>
            </w:r>
          </w:p>
        </w:tc>
        <w:tc>
          <w:tcPr>
            <w:tcW w:w="1013" w:type="pct"/>
            <w:gridSpan w:val="2"/>
            <w:vAlign w:val="top"/>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rPr>
              <w:t>2.00&lt;</w:t>
            </w:r>
            <w:r>
              <w:rPr>
                <w:rFonts w:hint="eastAsia" w:ascii="宋体" w:hAnsi="宋体" w:eastAsia="宋体" w:cs="宋体"/>
                <w:i/>
                <w:iCs/>
                <w:color w:val="auto"/>
                <w:sz w:val="18"/>
                <w:szCs w:val="18"/>
              </w:rPr>
              <w:t>DCR</w:t>
            </w:r>
            <w:r>
              <w:rPr>
                <w:rFonts w:hint="eastAsia" w:ascii="宋体" w:hAnsi="宋体" w:eastAsia="宋体" w:cs="宋体"/>
                <w:color w:val="auto"/>
                <w:sz w:val="18"/>
                <w:szCs w:val="18"/>
              </w:rPr>
              <w:t>≤2.50</w:t>
            </w:r>
          </w:p>
        </w:tc>
        <w:tc>
          <w:tcPr>
            <w:tcW w:w="887" w:type="pct"/>
            <w:vAlign w:val="top"/>
          </w:tcPr>
          <w:p>
            <w:pPr>
              <w:pStyle w:val="41"/>
              <w:tabs>
                <w:tab w:val="left" w:pos="850"/>
              </w:tabs>
              <w:spacing w:before="52"/>
              <w:ind w:left="180" w:leftChars="0" w:right="145"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5"/>
                <w:sz w:val="18"/>
                <w:szCs w:val="18"/>
                <w:lang w:val="en-US" w:eastAsia="zh-CN"/>
              </w:rPr>
              <w:t>58</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待机功率</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5.17.1</w:t>
            </w:r>
            <w:r>
              <w:rPr>
                <w:rFonts w:hint="eastAsia" w:ascii="宋体" w:hAnsi="宋体" w:eastAsia="宋体" w:cs="宋体"/>
                <w:color w:val="auto"/>
                <w:sz w:val="18"/>
                <w:szCs w:val="18"/>
                <w:lang w:eastAsia="zh-CN"/>
              </w:rPr>
              <w:t>不带传感器、WIFI、蓝牙等通信协议(或这些功能在测试时可以关闭的，测试关闭这些功能后的产品)，</w:t>
            </w:r>
            <w:bookmarkStart w:id="29" w:name="OLE_LINK12"/>
            <w:r>
              <w:rPr>
                <w:rFonts w:hint="eastAsia" w:ascii="宋体" w:hAnsi="宋体" w:eastAsia="宋体" w:cs="宋体"/>
                <w:color w:val="auto"/>
                <w:sz w:val="18"/>
                <w:szCs w:val="18"/>
                <w:lang w:eastAsia="zh-CN"/>
              </w:rPr>
              <w:t>则其待机功率应不大于0.8 W且不大于明示值</w:t>
            </w:r>
            <w:bookmarkEnd w:id="29"/>
            <w:r>
              <w:rPr>
                <w:rFonts w:hint="eastAsia" w:ascii="宋体" w:hAnsi="宋体" w:eastAsia="宋体" w:cs="宋体"/>
                <w:color w:val="auto"/>
                <w:sz w:val="18"/>
                <w:szCs w:val="18"/>
                <w:lang w:eastAsia="zh-CN"/>
              </w:rPr>
              <w:t>。</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en-US" w:eastAsia="zh-CN"/>
              </w:rPr>
              <w:t>5.17.2</w:t>
            </w:r>
            <w:r>
              <w:rPr>
                <w:rFonts w:hint="eastAsia" w:ascii="宋体" w:hAnsi="宋体" w:eastAsia="宋体" w:cs="宋体"/>
                <w:color w:val="auto"/>
                <w:sz w:val="18"/>
                <w:szCs w:val="18"/>
                <w:lang w:eastAsia="zh-CN"/>
              </w:rPr>
              <w:t>带有传感器、WIFI、蓝牙等通信协议,则其待机功率应不大于</w:t>
            </w:r>
            <w:r>
              <w:rPr>
                <w:rFonts w:hint="eastAsia" w:ascii="宋体" w:hAnsi="宋体" w:eastAsia="宋体" w:cs="宋体"/>
                <w:color w:val="auto"/>
                <w:sz w:val="18"/>
                <w:szCs w:val="18"/>
                <w:lang w:val="en-US" w:eastAsia="zh-CN"/>
              </w:rPr>
              <w:t>2</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0</w:t>
            </w:r>
            <w:r>
              <w:rPr>
                <w:rFonts w:hint="eastAsia" w:ascii="宋体" w:hAnsi="宋体" w:eastAsia="宋体" w:cs="宋体"/>
                <w:color w:val="auto"/>
                <w:sz w:val="18"/>
                <w:szCs w:val="18"/>
                <w:lang w:eastAsia="zh-CN"/>
              </w:rPr>
              <w:t xml:space="preserve"> W且不大于明示值</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5.16.1 名义除湿量小于或等于2.5kg/h的除湿机,若不带传感器、WIFI蓝牙等通信协议(或这些功能在测试时可以关闭的,测试关闭这些功能后的产品),则其待机功率应不大于 3W且不大于明示值;若带有传感器、WIF、蓝牙等通信协议,则其待机功率应不大于明示值。</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洁净空气量</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rPr>
              <w:t>具有净化功能的除湿机，其洁净空气量的实测值不应小于明示值的90%</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具有净化功能的除湿机，其洁净空气量的实测值不应小于明示值的90%</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76"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z w:val="18"/>
                <w:szCs w:val="18"/>
              </w:rPr>
              <w:t>除菌性能</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rPr>
              <w:t>具有除菌功能的除湿机的除菌率不应小于8</w:t>
            </w:r>
            <w:r>
              <w:rPr>
                <w:rFonts w:hint="eastAsia" w:ascii="宋体" w:hAnsi="宋体" w:eastAsia="宋体" w:cs="宋体"/>
                <w:color w:val="auto"/>
                <w:sz w:val="18"/>
                <w:szCs w:val="18"/>
                <w:lang w:val="en-US" w:eastAsia="zh-CN"/>
              </w:rPr>
              <w:t>0</w:t>
            </w:r>
            <w:r>
              <w:rPr>
                <w:rFonts w:hint="eastAsia" w:ascii="宋体" w:hAnsi="宋体" w:eastAsia="宋体" w:cs="宋体"/>
                <w:color w:val="auto"/>
                <w:sz w:val="18"/>
                <w:szCs w:val="18"/>
              </w:rPr>
              <w:t>%，且不应小于明示值的90%</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具有除菌功能的除湿机的除菌率不应小于明示值的90%</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0"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创新</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指标</w:t>
            </w:r>
          </w:p>
        </w:tc>
        <w:tc>
          <w:tcPr>
            <w:tcW w:w="6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其他安全要求</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应符合GB/T 4706.1和GB/T 4706.32的要求</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z w:val="18"/>
                <w:szCs w:val="18"/>
              </w:rPr>
              <w:t>抗菌性能</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kern w:val="2"/>
                <w:sz w:val="18"/>
                <w:szCs w:val="18"/>
              </w:rPr>
              <w:t>除湿机</w:t>
            </w:r>
            <w:r>
              <w:rPr>
                <w:rFonts w:hint="eastAsia" w:ascii="宋体" w:hAnsi="宋体" w:eastAsia="宋体" w:cs="宋体"/>
                <w:color w:val="auto"/>
                <w:kern w:val="2"/>
                <w:sz w:val="18"/>
                <w:szCs w:val="18"/>
                <w:lang w:val="en-US" w:eastAsia="zh-CN"/>
              </w:rPr>
              <w:t>明示</w:t>
            </w:r>
            <w:r>
              <w:rPr>
                <w:rFonts w:hint="eastAsia" w:ascii="宋体" w:hAnsi="宋体" w:eastAsia="宋体" w:cs="宋体"/>
                <w:color w:val="auto"/>
                <w:kern w:val="2"/>
                <w:sz w:val="18"/>
                <w:szCs w:val="18"/>
              </w:rPr>
              <w:t>使用</w:t>
            </w:r>
            <w:r>
              <w:rPr>
                <w:rFonts w:hint="eastAsia" w:ascii="宋体" w:hAnsi="宋体" w:eastAsia="宋体" w:cs="宋体"/>
                <w:color w:val="auto"/>
                <w:kern w:val="2"/>
                <w:sz w:val="18"/>
                <w:szCs w:val="18"/>
                <w:lang w:eastAsia="zh-CN"/>
              </w:rPr>
              <w:t>的</w:t>
            </w:r>
            <w:r>
              <w:rPr>
                <w:rFonts w:hint="eastAsia" w:ascii="宋体" w:hAnsi="宋体" w:eastAsia="宋体" w:cs="宋体"/>
                <w:color w:val="auto"/>
                <w:kern w:val="2"/>
                <w:sz w:val="18"/>
                <w:szCs w:val="18"/>
              </w:rPr>
              <w:t>抗细菌、霉菌材料</w:t>
            </w:r>
            <w:r>
              <w:rPr>
                <w:rFonts w:hint="eastAsia" w:ascii="宋体" w:hAnsi="宋体" w:eastAsia="宋体" w:cs="宋体"/>
                <w:color w:val="auto"/>
                <w:kern w:val="2"/>
                <w:sz w:val="18"/>
                <w:szCs w:val="18"/>
                <w:lang w:eastAsia="zh-CN"/>
              </w:rPr>
              <w:t>，其</w:t>
            </w:r>
            <w:r>
              <w:rPr>
                <w:rFonts w:hint="eastAsia" w:ascii="宋体" w:hAnsi="宋体" w:eastAsia="宋体" w:cs="宋体"/>
                <w:color w:val="auto"/>
                <w:kern w:val="2"/>
                <w:sz w:val="18"/>
                <w:szCs w:val="18"/>
              </w:rPr>
              <w:t>抗菌率不应小于9</w:t>
            </w:r>
            <w:r>
              <w:rPr>
                <w:rFonts w:hint="eastAsia" w:ascii="宋体" w:hAnsi="宋体" w:eastAsia="宋体" w:cs="宋体"/>
                <w:color w:val="auto"/>
                <w:kern w:val="2"/>
                <w:sz w:val="18"/>
                <w:szCs w:val="18"/>
                <w:lang w:val="en-US"/>
              </w:rPr>
              <w:t>2</w:t>
            </w:r>
            <w:r>
              <w:rPr>
                <w:rFonts w:hint="eastAsia" w:ascii="宋体" w:hAnsi="宋体" w:eastAsia="宋体" w:cs="宋体"/>
                <w:color w:val="auto"/>
                <w:kern w:val="2"/>
                <w:sz w:val="18"/>
                <w:szCs w:val="18"/>
              </w:rPr>
              <w:t>%，防霉等级不应低于</w:t>
            </w:r>
            <w:r>
              <w:rPr>
                <w:rFonts w:hint="eastAsia" w:ascii="宋体" w:hAnsi="宋体" w:eastAsia="宋体" w:cs="宋体"/>
                <w:color w:val="auto"/>
                <w:kern w:val="2"/>
                <w:sz w:val="18"/>
                <w:szCs w:val="18"/>
                <w:lang w:val="en-US"/>
              </w:rPr>
              <w:t>1</w:t>
            </w:r>
            <w:r>
              <w:rPr>
                <w:rFonts w:hint="eastAsia" w:ascii="宋体" w:hAnsi="宋体" w:eastAsia="宋体" w:cs="宋体"/>
                <w:color w:val="auto"/>
                <w:kern w:val="2"/>
                <w:sz w:val="18"/>
                <w:szCs w:val="18"/>
              </w:rPr>
              <w:t>级</w:t>
            </w:r>
          </w:p>
        </w:tc>
        <w:tc>
          <w:tcPr>
            <w:tcW w:w="1901"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bl>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标准先进性说明：</w:t>
      </w:r>
    </w:p>
    <w:p>
      <w:pPr>
        <w:ind w:firstLine="560" w:firstLineChars="200"/>
        <w:rPr>
          <w:rFonts w:hint="eastAsia" w:ascii="仿宋" w:hAnsi="仿宋" w:eastAsia="仿宋" w:cs="仿宋"/>
          <w:bCs/>
          <w:sz w:val="28"/>
          <w:szCs w:val="28"/>
          <w:lang w:val="zh-CN" w:eastAsia="zh-CN"/>
        </w:rPr>
      </w:pPr>
      <w:bookmarkStart w:id="30" w:name="_Hlk161677665"/>
      <w:r>
        <w:rPr>
          <w:rFonts w:hint="eastAsia" w:ascii="仿宋" w:hAnsi="仿宋" w:eastAsia="仿宋" w:cs="仿宋"/>
          <w:bCs/>
          <w:sz w:val="28"/>
          <w:szCs w:val="28"/>
          <w:lang w:eastAsia="zh-CN"/>
        </w:rPr>
        <w:t>1）</w:t>
      </w:r>
      <w:r>
        <w:rPr>
          <w:rFonts w:hint="eastAsia" w:ascii="仿宋" w:hAnsi="仿宋" w:eastAsia="仿宋" w:cs="仿宋"/>
          <w:bCs/>
          <w:sz w:val="28"/>
          <w:szCs w:val="28"/>
          <w:lang w:val="zh-CN" w:eastAsia="zh-CN"/>
        </w:rPr>
        <w:t>电磁兼容、安全要求：反映产品确保使用环境和使用者的安全要求。</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电磁兼容优良的除湿机能保证产品使用不会受到外界电磁的干扰，同时也能确保自身发出电磁不会对周围产品使用生产不利影响，是国内外对电气电器产品的要求。电气安全直接保障使用者的完全，确保社会公共安全</w:t>
      </w:r>
      <w:r>
        <w:rPr>
          <w:rFonts w:hint="eastAsia" w:ascii="仿宋" w:hAnsi="仿宋" w:eastAsia="仿宋" w:cs="仿宋"/>
          <w:bCs/>
          <w:sz w:val="28"/>
          <w:szCs w:val="28"/>
          <w:lang w:val="zh-CN" w:eastAsia="zh-CN"/>
        </w:rPr>
        <w:t>。这两项技术指标的引用的标准是等同采用了国际标准，除湿机这两项安全指标的稳定性也是产品先进性的体现，也是其它先进性指标具有可行性的前提</w:t>
      </w:r>
      <w:r>
        <w:rPr>
          <w:rFonts w:hint="eastAsia" w:ascii="仿宋" w:hAnsi="仿宋" w:eastAsia="仿宋" w:cs="仿宋"/>
          <w:bCs/>
          <w:sz w:val="28"/>
          <w:szCs w:val="28"/>
          <w:lang w:eastAsia="zh-CN"/>
        </w:rPr>
        <w:t>，以确保产品工作能力、质量</w:t>
      </w:r>
      <w:r>
        <w:rPr>
          <w:rFonts w:hint="eastAsia" w:ascii="仿宋" w:hAnsi="仿宋" w:eastAsia="仿宋" w:cs="仿宋"/>
          <w:bCs/>
          <w:sz w:val="28"/>
          <w:szCs w:val="28"/>
          <w:lang w:val="en-US" w:eastAsia="zh-CN"/>
        </w:rPr>
        <w:t>和可靠性的保障和提升。</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w:t>
      </w:r>
      <w:bookmarkStart w:id="31" w:name="OLE_LINK28"/>
      <w:r>
        <w:rPr>
          <w:rFonts w:hint="eastAsia" w:ascii="仿宋" w:hAnsi="仿宋" w:eastAsia="仿宋" w:cs="仿宋"/>
          <w:bCs/>
          <w:sz w:val="28"/>
          <w:szCs w:val="28"/>
          <w:lang w:val="en-US" w:eastAsia="zh-CN"/>
        </w:rPr>
        <w:t>单位消耗功率除湿量、</w:t>
      </w:r>
      <w:r>
        <w:rPr>
          <w:rFonts w:hint="eastAsia" w:ascii="仿宋" w:hAnsi="仿宋" w:eastAsia="仿宋" w:cs="仿宋"/>
          <w:bCs/>
          <w:sz w:val="28"/>
          <w:szCs w:val="28"/>
          <w:lang w:val="zh-CN" w:eastAsia="zh-CN"/>
        </w:rPr>
        <w:t>待机功耗、噪声</w:t>
      </w:r>
      <w:bookmarkEnd w:id="31"/>
      <w:r>
        <w:rPr>
          <w:rFonts w:hint="eastAsia" w:ascii="仿宋" w:hAnsi="仿宋" w:eastAsia="仿宋" w:cs="仿宋"/>
          <w:bCs/>
          <w:sz w:val="28"/>
          <w:szCs w:val="28"/>
          <w:lang w:val="en-US" w:eastAsia="zh-CN"/>
        </w:rPr>
        <w:t>：</w:t>
      </w:r>
      <w:r>
        <w:rPr>
          <w:rFonts w:hint="eastAsia" w:ascii="仿宋" w:hAnsi="仿宋" w:eastAsia="仿宋" w:cs="仿宋"/>
          <w:bCs/>
          <w:sz w:val="28"/>
          <w:szCs w:val="28"/>
          <w:lang w:eastAsia="zh-CN"/>
        </w:rPr>
        <w:t>反映产品结构、材料和使用性能、功能优良</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单位消耗功率除湿量、</w:t>
      </w:r>
      <w:r>
        <w:rPr>
          <w:rFonts w:hint="eastAsia" w:ascii="仿宋" w:hAnsi="仿宋" w:eastAsia="仿宋" w:cs="仿宋"/>
          <w:bCs/>
          <w:sz w:val="28"/>
          <w:szCs w:val="28"/>
          <w:lang w:val="zh-CN" w:eastAsia="zh-CN"/>
        </w:rPr>
        <w:t>待机功耗、噪声</w:t>
      </w:r>
      <w:r>
        <w:rPr>
          <w:rFonts w:hint="eastAsia" w:ascii="仿宋" w:hAnsi="仿宋" w:eastAsia="仿宋" w:cs="仿宋"/>
          <w:bCs/>
          <w:sz w:val="28"/>
          <w:szCs w:val="28"/>
          <w:lang w:val="en-US" w:eastAsia="zh-CN"/>
        </w:rPr>
        <w:t>最关心的关键指标，是企业提高市场竞争力的核心，是家用除湿机产品技术提升的难点和痛点，也是佛山市家用除湿机能占据国内外市场的法宝。这些性能指标的提高并优于或新增于国标、行标，将为促进佛山市家用除湿机行业的高质量发展并引领行业的发展具有决定性作用，极大促进企业的市场品牌效应，</w:t>
      </w:r>
      <w:r>
        <w:rPr>
          <w:rFonts w:hint="eastAsia" w:ascii="仿宋" w:hAnsi="仿宋" w:eastAsia="仿宋" w:cs="仿宋"/>
          <w:bCs/>
          <w:sz w:val="28"/>
          <w:szCs w:val="28"/>
          <w:lang w:eastAsia="zh-CN"/>
        </w:rPr>
        <w:t>是国家推进产品更新换代和绿色发展的新质指标。</w:t>
      </w:r>
    </w:p>
    <w:p>
      <w:pPr>
        <w:pStyle w:val="16"/>
        <w:spacing w:line="360" w:lineRule="auto"/>
        <w:ind w:firstLine="562"/>
        <w:rPr>
          <w:rFonts w:ascii="仿宋" w:hAnsi="仿宋" w:eastAsia="仿宋" w:cs="仿宋"/>
          <w:bCs/>
          <w:sz w:val="28"/>
          <w:szCs w:val="28"/>
        </w:rPr>
      </w:pPr>
      <w:r>
        <w:rPr>
          <w:rFonts w:hint="eastAsia" w:ascii="仿宋" w:hAnsi="仿宋" w:eastAsia="仿宋" w:cs="仿宋"/>
          <w:b/>
          <w:sz w:val="28"/>
          <w:szCs w:val="28"/>
          <w:lang w:val="en-US" w:eastAsia="zh-CN"/>
        </w:rPr>
        <w:t>3</w:t>
      </w:r>
      <w:r>
        <w:rPr>
          <w:rFonts w:hint="eastAsia" w:ascii="仿宋" w:hAnsi="仿宋" w:eastAsia="仿宋" w:cs="仿宋"/>
          <w:bCs/>
          <w:sz w:val="28"/>
          <w:szCs w:val="28"/>
        </w:rPr>
        <w:t>）</w:t>
      </w:r>
      <w:r>
        <w:rPr>
          <w:rFonts w:hint="eastAsia" w:ascii="仿宋" w:hAnsi="仿宋" w:eastAsia="仿宋" w:cs="仿宋"/>
          <w:bCs/>
          <w:sz w:val="28"/>
          <w:szCs w:val="28"/>
          <w:lang w:val="zh-CN" w:eastAsia="zh-CN"/>
        </w:rPr>
        <w:t>限用物质、除菌性能、抗菌性能</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卫生</w:t>
      </w:r>
      <w:r>
        <w:rPr>
          <w:rFonts w:hint="eastAsia" w:ascii="仿宋" w:hAnsi="仿宋" w:eastAsia="仿宋" w:cs="仿宋"/>
          <w:bCs/>
          <w:sz w:val="28"/>
          <w:szCs w:val="28"/>
        </w:rPr>
        <w:t>安全环保属性要求。</w:t>
      </w:r>
    </w:p>
    <w:bookmarkEnd w:id="30"/>
    <w:p>
      <w:pPr>
        <w:pStyle w:val="16"/>
        <w:ind w:firstLine="560"/>
        <w:rPr>
          <w:rFonts w:hAnsi="宋体" w:cs="宋体"/>
          <w:kern w:val="2"/>
          <w:szCs w:val="21"/>
        </w:rPr>
      </w:pPr>
      <w:r>
        <w:rPr>
          <w:rFonts w:hint="eastAsia" w:ascii="仿宋" w:hAnsi="仿宋" w:eastAsia="仿宋" w:cs="仿宋"/>
          <w:bCs/>
          <w:sz w:val="28"/>
          <w:szCs w:val="28"/>
        </w:rPr>
        <w:t>理由说明：随着消费者对环保和健康的关注度不断提高，具备低有害物质含量</w:t>
      </w:r>
      <w:r>
        <w:rPr>
          <w:rFonts w:hint="eastAsia" w:ascii="仿宋" w:hAnsi="仿宋" w:eastAsia="仿宋" w:cs="仿宋"/>
          <w:bCs/>
          <w:sz w:val="28"/>
          <w:szCs w:val="28"/>
          <w:lang w:eastAsia="zh-CN"/>
        </w:rPr>
        <w:t>、除菌性能和抗菌性能</w:t>
      </w:r>
      <w:r>
        <w:rPr>
          <w:rFonts w:hint="eastAsia" w:ascii="仿宋" w:hAnsi="仿宋" w:eastAsia="仿宋" w:cs="仿宋"/>
          <w:bCs/>
          <w:sz w:val="28"/>
          <w:szCs w:val="28"/>
        </w:rPr>
        <w:t>的产品更容易受到市场的青睐。通过满足或超越相关标准和法规的要求，产品可以获得更多消费者的信任和认可，从而增强品牌影响力和市场份额</w:t>
      </w:r>
      <w:r>
        <w:rPr>
          <w:rFonts w:hint="eastAsia" w:ascii="仿宋" w:hAnsi="仿宋" w:eastAsia="仿宋" w:cs="仿宋"/>
          <w:bCs/>
          <w:sz w:val="28"/>
          <w:szCs w:val="28"/>
          <w:lang w:eastAsia="zh-CN"/>
        </w:rPr>
        <w:t>，也是国家绿色环保发展法律法规和政策要求</w:t>
      </w:r>
      <w:r>
        <w:rPr>
          <w:rFonts w:hint="eastAsia" w:ascii="仿宋" w:hAnsi="仿宋" w:eastAsia="仿宋" w:cs="仿宋"/>
          <w:bCs/>
          <w:sz w:val="28"/>
          <w:szCs w:val="28"/>
        </w:rPr>
        <w:t>。国标</w:t>
      </w:r>
      <w:r>
        <w:rPr>
          <w:rFonts w:hint="eastAsia" w:ascii="仿宋" w:hAnsi="仿宋" w:eastAsia="仿宋" w:cs="仿宋"/>
          <w:bCs/>
          <w:sz w:val="28"/>
          <w:szCs w:val="28"/>
          <w:lang w:eastAsia="zh-CN"/>
        </w:rPr>
        <w:t>、行标</w:t>
      </w:r>
      <w:r>
        <w:rPr>
          <w:rFonts w:hint="eastAsia" w:ascii="仿宋" w:hAnsi="仿宋" w:eastAsia="仿宋" w:cs="仿宋"/>
          <w:bCs/>
          <w:sz w:val="28"/>
          <w:szCs w:val="28"/>
        </w:rPr>
        <w:t>中没有规定</w:t>
      </w:r>
      <w:r>
        <w:rPr>
          <w:rFonts w:hint="eastAsia" w:ascii="仿宋" w:hAnsi="仿宋" w:eastAsia="仿宋" w:cs="仿宋"/>
          <w:bCs/>
          <w:sz w:val="28"/>
          <w:szCs w:val="28"/>
          <w:lang w:eastAsia="zh-CN"/>
        </w:rPr>
        <w:t>抗菌</w:t>
      </w:r>
      <w:r>
        <w:rPr>
          <w:rFonts w:hint="eastAsia" w:ascii="仿宋" w:hAnsi="仿宋" w:eastAsia="仿宋" w:cs="仿宋"/>
          <w:bCs/>
          <w:sz w:val="28"/>
          <w:szCs w:val="28"/>
        </w:rPr>
        <w:t>指标，</w:t>
      </w:r>
      <w:r>
        <w:rPr>
          <w:rFonts w:hint="eastAsia" w:ascii="仿宋" w:hAnsi="仿宋" w:eastAsia="仿宋" w:cs="仿宋"/>
          <w:bCs/>
          <w:sz w:val="28"/>
          <w:szCs w:val="28"/>
          <w:lang w:eastAsia="zh-CN"/>
        </w:rPr>
        <w:t>除菌性能指标优于国标要求，</w:t>
      </w:r>
      <w:r>
        <w:rPr>
          <w:rFonts w:hint="eastAsia" w:ascii="仿宋" w:hAnsi="仿宋" w:eastAsia="仿宋" w:cs="仿宋"/>
          <w:bCs/>
          <w:sz w:val="28"/>
          <w:szCs w:val="28"/>
        </w:rPr>
        <w:t>考虑到用户以及消费者特别关注此项指标，</w:t>
      </w:r>
      <w:r>
        <w:rPr>
          <w:rFonts w:hint="eastAsia" w:ascii="仿宋" w:hAnsi="仿宋" w:eastAsia="仿宋" w:cs="仿宋"/>
          <w:bCs/>
          <w:sz w:val="28"/>
          <w:szCs w:val="28"/>
          <w:lang w:eastAsia="zh-CN"/>
        </w:rPr>
        <w:t>且为国家绿色产业发展的要求，</w:t>
      </w:r>
      <w:r>
        <w:rPr>
          <w:rFonts w:hint="eastAsia" w:ascii="仿宋" w:hAnsi="仿宋" w:eastAsia="仿宋" w:cs="仿宋"/>
          <w:bCs/>
          <w:sz w:val="28"/>
          <w:szCs w:val="28"/>
        </w:rPr>
        <w:t>增加</w:t>
      </w:r>
      <w:r>
        <w:rPr>
          <w:rFonts w:hint="eastAsia" w:ascii="仿宋" w:hAnsi="仿宋" w:eastAsia="仿宋" w:cs="仿宋"/>
          <w:bCs/>
          <w:sz w:val="28"/>
          <w:szCs w:val="28"/>
          <w:lang w:eastAsia="zh-CN"/>
        </w:rPr>
        <w:t>和优化</w:t>
      </w:r>
      <w:r>
        <w:rPr>
          <w:rFonts w:hint="eastAsia" w:ascii="仿宋" w:hAnsi="仿宋" w:eastAsia="仿宋" w:cs="仿宋"/>
          <w:bCs/>
          <w:sz w:val="28"/>
          <w:szCs w:val="28"/>
        </w:rPr>
        <w:t>了此</w:t>
      </w:r>
      <w:r>
        <w:rPr>
          <w:rFonts w:hint="eastAsia" w:ascii="仿宋" w:hAnsi="仿宋" w:eastAsia="仿宋" w:cs="仿宋"/>
          <w:bCs/>
          <w:sz w:val="28"/>
          <w:szCs w:val="28"/>
          <w:lang w:eastAsia="zh-CN"/>
        </w:rPr>
        <w:t>两</w:t>
      </w:r>
      <w:r>
        <w:rPr>
          <w:rFonts w:hint="eastAsia" w:ascii="仿宋" w:hAnsi="仿宋" w:eastAsia="仿宋" w:cs="仿宋"/>
          <w:bCs/>
          <w:sz w:val="28"/>
          <w:szCs w:val="28"/>
        </w:rPr>
        <w:t>项指标的考核，且</w:t>
      </w:r>
      <w:r>
        <w:rPr>
          <w:rFonts w:hint="eastAsia" w:ascii="仿宋" w:hAnsi="仿宋" w:eastAsia="仿宋" w:cs="仿宋"/>
          <w:bCs/>
          <w:sz w:val="28"/>
          <w:szCs w:val="28"/>
          <w:lang w:eastAsia="zh-CN"/>
        </w:rPr>
        <w:t>限用物质</w:t>
      </w:r>
      <w:r>
        <w:rPr>
          <w:rFonts w:hint="eastAsia" w:ascii="仿宋" w:hAnsi="仿宋" w:eastAsia="仿宋" w:cs="仿宋"/>
          <w:bCs/>
          <w:sz w:val="28"/>
          <w:szCs w:val="28"/>
        </w:rPr>
        <w:t>指标</w:t>
      </w:r>
      <w:r>
        <w:rPr>
          <w:rFonts w:hint="eastAsia" w:ascii="仿宋" w:hAnsi="仿宋" w:eastAsia="仿宋" w:cs="仿宋"/>
          <w:bCs/>
          <w:sz w:val="28"/>
          <w:szCs w:val="28"/>
          <w:lang w:eastAsia="zh-CN"/>
        </w:rPr>
        <w:t>不低于</w:t>
      </w:r>
      <w:r>
        <w:rPr>
          <w:rFonts w:hint="eastAsia" w:ascii="仿宋" w:hAnsi="仿宋" w:eastAsia="仿宋" w:cs="仿宋"/>
          <w:bCs/>
          <w:sz w:val="28"/>
          <w:szCs w:val="28"/>
        </w:rPr>
        <w:t>欧盟ROSH指令</w:t>
      </w:r>
      <w:r>
        <w:rPr>
          <w:rFonts w:hint="eastAsia" w:ascii="仿宋" w:hAnsi="仿宋" w:eastAsia="仿宋" w:cs="仿宋"/>
          <w:bCs/>
          <w:sz w:val="28"/>
          <w:szCs w:val="28"/>
          <w:lang w:eastAsia="zh-CN"/>
        </w:rPr>
        <w:t>的要求，也是是国家推进产品更新换代和绿色环保发展的新质指标。</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根据产品标准的要求，兼顾生产方、买方及第三方的需求，既要保证判定的准确性又要力求可行，将判定规则分为出厂检验和型式检验，分别明确了检验项目、不合格分类及抽样方案和判定规则的确定。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 xml:space="preserve">《佛山标准 </w:t>
      </w:r>
      <w:r>
        <w:rPr>
          <w:rFonts w:hint="eastAsia" w:ascii="仿宋" w:hAnsi="仿宋" w:eastAsia="仿宋" w:cs="仿宋"/>
          <w:bCs/>
          <w:sz w:val="28"/>
          <w:szCs w:val="28"/>
          <w:lang w:val="en-US" w:eastAsia="zh-CN"/>
        </w:rPr>
        <w:t>家用除湿机</w:t>
      </w:r>
      <w:r>
        <w:rPr>
          <w:rFonts w:hint="eastAsia" w:ascii="仿宋" w:hAnsi="仿宋" w:eastAsia="仿宋" w:cs="仿宋"/>
          <w:sz w:val="28"/>
          <w:szCs w:val="28"/>
          <w:lang w:eastAsia="zh-CN"/>
        </w:rPr>
        <w:t xml:space="preserve">》标准研制工作组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w:t>
      </w: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日</w:t>
      </w: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C9D27"/>
    <w:multiLevelType w:val="singleLevel"/>
    <w:tmpl w:val="F2EC9D27"/>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567589E"/>
    <w:multiLevelType w:val="singleLevel"/>
    <w:tmpl w:val="1567589E"/>
    <w:lvl w:ilvl="0" w:tentative="0">
      <w:start w:val="1"/>
      <w:numFmt w:val="chineseCounting"/>
      <w:suff w:val="nothing"/>
      <w:lvlText w:val="（%1）"/>
      <w:lvlJc w:val="left"/>
      <w:rPr>
        <w:rFonts w:hint="eastAsia"/>
      </w:rPr>
    </w:lvl>
  </w:abstractNum>
  <w:abstractNum w:abstractNumId="3">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4">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6FC930AC"/>
    <w:multiLevelType w:val="multilevel"/>
    <w:tmpl w:val="6FC930AC"/>
    <w:lvl w:ilvl="0" w:tentative="0">
      <w:start w:val="1"/>
      <w:numFmt w:val="decimal"/>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1276"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
    <w:nsid w:val="7279CB2F"/>
    <w:multiLevelType w:val="singleLevel"/>
    <w:tmpl w:val="7279CB2F"/>
    <w:lvl w:ilvl="0" w:tentative="0">
      <w:start w:val="1"/>
      <w:numFmt w:val="decimal"/>
      <w:suff w:val="nothing"/>
      <w:lvlText w:val="%1）"/>
      <w:lvlJc w:val="left"/>
    </w:lvl>
  </w:abstractNum>
  <w:num w:numId="1">
    <w:abstractNumId w:val="4"/>
  </w:num>
  <w:num w:numId="2">
    <w:abstractNumId w:val="3"/>
  </w:num>
  <w:num w:numId="3">
    <w:abstractNumId w:val="1"/>
  </w:num>
  <w:num w:numId="4">
    <w:abstractNumId w:val="6"/>
  </w:num>
  <w:num w:numId="5">
    <w:abstractNumId w:val="5"/>
  </w:num>
  <w:num w:numId="6">
    <w:abstractNumId w:val="8"/>
  </w:num>
  <w:num w:numId="7">
    <w:abstractNumId w:val="7"/>
  </w:num>
  <w:num w:numId="8">
    <w:abstractNumId w:val="2"/>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460CD9"/>
    <w:rsid w:val="06E75409"/>
    <w:rsid w:val="073B51B7"/>
    <w:rsid w:val="0797103D"/>
    <w:rsid w:val="099F025A"/>
    <w:rsid w:val="0B3704B4"/>
    <w:rsid w:val="0C7327EB"/>
    <w:rsid w:val="0C8063E7"/>
    <w:rsid w:val="0C9F7A36"/>
    <w:rsid w:val="0CAC517A"/>
    <w:rsid w:val="0CE972B8"/>
    <w:rsid w:val="0DB03D55"/>
    <w:rsid w:val="0EB86E27"/>
    <w:rsid w:val="10F93F06"/>
    <w:rsid w:val="11A0756D"/>
    <w:rsid w:val="12DC05B5"/>
    <w:rsid w:val="1450231E"/>
    <w:rsid w:val="15B80698"/>
    <w:rsid w:val="172F2F59"/>
    <w:rsid w:val="17534CEC"/>
    <w:rsid w:val="179D1EDB"/>
    <w:rsid w:val="1A9637AF"/>
    <w:rsid w:val="1BDE13C1"/>
    <w:rsid w:val="1CE47554"/>
    <w:rsid w:val="1CF90154"/>
    <w:rsid w:val="1E833FAF"/>
    <w:rsid w:val="203F7A70"/>
    <w:rsid w:val="208D2895"/>
    <w:rsid w:val="220B6B38"/>
    <w:rsid w:val="25C82A4C"/>
    <w:rsid w:val="26153389"/>
    <w:rsid w:val="261C0F13"/>
    <w:rsid w:val="27DD2B84"/>
    <w:rsid w:val="29C23C24"/>
    <w:rsid w:val="2C9456EE"/>
    <w:rsid w:val="2D00084B"/>
    <w:rsid w:val="2DA26642"/>
    <w:rsid w:val="2F172B1B"/>
    <w:rsid w:val="2F817BE3"/>
    <w:rsid w:val="30AE6631"/>
    <w:rsid w:val="325E2F6A"/>
    <w:rsid w:val="33375694"/>
    <w:rsid w:val="339802E0"/>
    <w:rsid w:val="342A6B27"/>
    <w:rsid w:val="355F3466"/>
    <w:rsid w:val="36232246"/>
    <w:rsid w:val="37FF69FD"/>
    <w:rsid w:val="384D221C"/>
    <w:rsid w:val="388131BD"/>
    <w:rsid w:val="394D4F22"/>
    <w:rsid w:val="3A541FF7"/>
    <w:rsid w:val="3AE85EBF"/>
    <w:rsid w:val="3B231DB6"/>
    <w:rsid w:val="3C6B5B77"/>
    <w:rsid w:val="3DD07A46"/>
    <w:rsid w:val="404C56FF"/>
    <w:rsid w:val="41C77FE8"/>
    <w:rsid w:val="41F14FD0"/>
    <w:rsid w:val="44122E34"/>
    <w:rsid w:val="451E7304"/>
    <w:rsid w:val="45EC4713"/>
    <w:rsid w:val="45F762BD"/>
    <w:rsid w:val="4AB560CE"/>
    <w:rsid w:val="4D8C0D6D"/>
    <w:rsid w:val="4DED3CD5"/>
    <w:rsid w:val="4E080B51"/>
    <w:rsid w:val="4F7C6051"/>
    <w:rsid w:val="50CB1798"/>
    <w:rsid w:val="513D70DA"/>
    <w:rsid w:val="51D71EED"/>
    <w:rsid w:val="52634A96"/>
    <w:rsid w:val="538E2D0B"/>
    <w:rsid w:val="5459720E"/>
    <w:rsid w:val="598072CA"/>
    <w:rsid w:val="5C597408"/>
    <w:rsid w:val="5CB069F1"/>
    <w:rsid w:val="5D8B6D68"/>
    <w:rsid w:val="5E465936"/>
    <w:rsid w:val="5EBC12FA"/>
    <w:rsid w:val="5F961379"/>
    <w:rsid w:val="5F9D7B88"/>
    <w:rsid w:val="5FCF4E6E"/>
    <w:rsid w:val="603A41BB"/>
    <w:rsid w:val="612F3F66"/>
    <w:rsid w:val="6463123F"/>
    <w:rsid w:val="66DE0B02"/>
    <w:rsid w:val="679F325F"/>
    <w:rsid w:val="6835642B"/>
    <w:rsid w:val="6A475D4D"/>
    <w:rsid w:val="6AEF312F"/>
    <w:rsid w:val="6BB67446"/>
    <w:rsid w:val="6DB813F8"/>
    <w:rsid w:val="6ED274D6"/>
    <w:rsid w:val="6EE72672"/>
    <w:rsid w:val="715603A1"/>
    <w:rsid w:val="719A4CC7"/>
    <w:rsid w:val="72AE00E5"/>
    <w:rsid w:val="72E8428C"/>
    <w:rsid w:val="73670EF3"/>
    <w:rsid w:val="74180B9A"/>
    <w:rsid w:val="75BD6C28"/>
    <w:rsid w:val="75E8386D"/>
    <w:rsid w:val="767A4544"/>
    <w:rsid w:val="77B0779C"/>
    <w:rsid w:val="780E5898"/>
    <w:rsid w:val="787248B0"/>
    <w:rsid w:val="79B32B63"/>
    <w:rsid w:val="7A0D7DD8"/>
    <w:rsid w:val="7AA52375"/>
    <w:rsid w:val="7C60038E"/>
    <w:rsid w:val="7F6762BE"/>
    <w:rsid w:val="7FF70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 w:type="paragraph" w:customStyle="1" w:styleId="41">
    <w:name w:val="Table Paragraph"/>
    <w:basedOn w:val="1"/>
    <w:qFormat/>
    <w:uiPriority w:val="1"/>
    <w:pPr>
      <w:adjustRightInd/>
      <w:spacing w:before="129" w:line="240" w:lineRule="auto"/>
    </w:pPr>
    <w:rPr>
      <w:rFonts w:ascii="宋体" w:hAnsi="Times New Roman" w:cstheme="minorBidi"/>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4</TotalTime>
  <ScaleCrop>false</ScaleCrop>
  <LinksUpToDate>false</LinksUpToDate>
  <CharactersWithSpaces>6318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冬雪</cp:lastModifiedBy>
  <cp:lastPrinted>2024-04-25T10:29:00Z</cp:lastPrinted>
  <dcterms:modified xsi:type="dcterms:W3CDTF">2025-05-30T02:24:16Z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58E2C60B6A4440A4911CC6E76CA0E142</vt:lpwstr>
  </property>
</Properties>
</file>